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35" w:rsidRPr="00A44788" w:rsidRDefault="00C26835" w:rsidP="00D91DE7">
      <w:pPr>
        <w:spacing w:line="360" w:lineRule="auto"/>
        <w:ind w:firstLine="708"/>
        <w:rPr>
          <w:rFonts w:ascii="Arial Narrow" w:hAnsi="Arial Narrow"/>
          <w:color w:val="7F7F7F" w:themeColor="text1" w:themeTint="80"/>
          <w:sz w:val="27"/>
          <w:szCs w:val="27"/>
        </w:rPr>
      </w:pPr>
      <w:bookmarkStart w:id="0" w:name="_GoBack"/>
      <w:r w:rsidRPr="00A44788">
        <w:rPr>
          <w:rFonts w:ascii="Arial Narrow" w:hAnsi="Arial Narrow"/>
          <w:color w:val="7F7F7F" w:themeColor="text1" w:themeTint="80"/>
          <w:sz w:val="27"/>
          <w:szCs w:val="27"/>
        </w:rPr>
        <w:t>León, Guanajuato, a 21 veintiuno de</w:t>
      </w:r>
      <w:r w:rsidR="00731A19" w:rsidRPr="00A44788">
        <w:rPr>
          <w:rFonts w:ascii="Arial Narrow" w:hAnsi="Arial Narrow"/>
          <w:color w:val="7F7F7F" w:themeColor="text1" w:themeTint="80"/>
          <w:sz w:val="27"/>
          <w:szCs w:val="27"/>
        </w:rPr>
        <w:t xml:space="preserve"> diciembre del año 2015 dos mil quince</w:t>
      </w:r>
      <w:r w:rsidRPr="00A44788">
        <w:rPr>
          <w:rFonts w:ascii="Arial Narrow" w:hAnsi="Arial Narrow"/>
          <w:color w:val="7F7F7F" w:themeColor="text1" w:themeTint="80"/>
          <w:sz w:val="27"/>
          <w:szCs w:val="27"/>
        </w:rPr>
        <w:t xml:space="preserve">. </w:t>
      </w:r>
    </w:p>
    <w:p w:rsidR="00C26835" w:rsidRPr="00A44788" w:rsidRDefault="00C26835" w:rsidP="00D91DE7">
      <w:pPr>
        <w:spacing w:line="360" w:lineRule="auto"/>
        <w:jc w:val="both"/>
        <w:rPr>
          <w:rFonts w:ascii="Arial Narrow" w:hAnsi="Arial Narrow" w:cs="Arial"/>
          <w:color w:val="7F7F7F" w:themeColor="text1" w:themeTint="80"/>
          <w:sz w:val="27"/>
          <w:szCs w:val="27"/>
        </w:rPr>
      </w:pPr>
    </w:p>
    <w:p w:rsidR="00D63409" w:rsidRPr="00A44788" w:rsidRDefault="00C26835" w:rsidP="00B0764F">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b/>
          <w:color w:val="7F7F7F" w:themeColor="text1" w:themeTint="80"/>
          <w:sz w:val="27"/>
          <w:szCs w:val="27"/>
        </w:rPr>
        <w:t xml:space="preserve">V I S T O </w:t>
      </w:r>
      <w:r w:rsidRPr="00A44788">
        <w:rPr>
          <w:rFonts w:ascii="Arial Narrow" w:hAnsi="Arial Narrow" w:cs="Arial"/>
          <w:color w:val="7F7F7F" w:themeColor="text1" w:themeTint="80"/>
          <w:sz w:val="27"/>
          <w:szCs w:val="27"/>
        </w:rPr>
        <w:t xml:space="preserve">para resolver el expediente número </w:t>
      </w:r>
      <w:r w:rsidR="00731A19" w:rsidRPr="00A44788">
        <w:rPr>
          <w:rFonts w:ascii="Arial Narrow" w:hAnsi="Arial Narrow" w:cs="Arial"/>
          <w:b/>
          <w:color w:val="7F7F7F" w:themeColor="text1" w:themeTint="80"/>
          <w:sz w:val="27"/>
          <w:szCs w:val="27"/>
        </w:rPr>
        <w:t>179/2015</w:t>
      </w:r>
      <w:r w:rsidRPr="00A44788">
        <w:rPr>
          <w:rFonts w:ascii="Arial Narrow" w:hAnsi="Arial Narrow" w:cs="Arial"/>
          <w:b/>
          <w:color w:val="7F7F7F" w:themeColor="text1" w:themeTint="80"/>
          <w:sz w:val="27"/>
          <w:szCs w:val="27"/>
        </w:rPr>
        <w:t>-JN</w:t>
      </w:r>
      <w:r w:rsidRPr="00A44788">
        <w:rPr>
          <w:rFonts w:ascii="Arial Narrow" w:hAnsi="Arial Narrow" w:cs="Arial"/>
          <w:color w:val="7F7F7F" w:themeColor="text1" w:themeTint="80"/>
          <w:sz w:val="27"/>
          <w:szCs w:val="27"/>
        </w:rPr>
        <w:t xml:space="preserve">, </w:t>
      </w:r>
      <w:r w:rsidRPr="00A44788">
        <w:rPr>
          <w:rFonts w:ascii="Arial Narrow" w:hAnsi="Arial Narrow"/>
          <w:color w:val="7F7F7F" w:themeColor="text1" w:themeTint="80"/>
          <w:sz w:val="27"/>
          <w:szCs w:val="27"/>
        </w:rPr>
        <w:t xml:space="preserve">que contiene las actuaciones del proceso administrativo iniciado con motivo de la demanda interpuesta </w:t>
      </w:r>
      <w:r w:rsidR="00B0764F" w:rsidRPr="00A44788">
        <w:rPr>
          <w:rFonts w:ascii="Arial Narrow" w:hAnsi="Arial Narrow"/>
          <w:color w:val="7F7F7F" w:themeColor="text1" w:themeTint="80"/>
          <w:sz w:val="27"/>
          <w:szCs w:val="27"/>
        </w:rPr>
        <w:t>…</w:t>
      </w:r>
      <w:r w:rsidRPr="00A44788">
        <w:rPr>
          <w:rFonts w:ascii="Arial Narrow" w:hAnsi="Arial Narrow" w:cs="Arial"/>
          <w:color w:val="7F7F7F" w:themeColor="text1" w:themeTint="80"/>
          <w:sz w:val="27"/>
          <w:szCs w:val="27"/>
        </w:rPr>
        <w:t xml:space="preserve">, en contra del </w:t>
      </w:r>
      <w:r w:rsidR="00731A19" w:rsidRPr="00A44788">
        <w:rPr>
          <w:rFonts w:ascii="Arial Narrow" w:hAnsi="Arial Narrow" w:cs="Arial"/>
          <w:b/>
          <w:color w:val="7F7F7F" w:themeColor="text1" w:themeTint="80"/>
          <w:sz w:val="27"/>
          <w:szCs w:val="27"/>
        </w:rPr>
        <w:t>TESORERO MUNICIPAL</w:t>
      </w:r>
      <w:r w:rsidR="007B5DF2" w:rsidRPr="00A44788">
        <w:rPr>
          <w:rFonts w:ascii="Arial Narrow" w:hAnsi="Arial Narrow" w:cs="Arial"/>
          <w:b/>
          <w:color w:val="7F7F7F" w:themeColor="text1" w:themeTint="80"/>
          <w:sz w:val="27"/>
          <w:szCs w:val="27"/>
        </w:rPr>
        <w:t xml:space="preserve"> DE LEÓN, GUANAJUATO</w:t>
      </w:r>
      <w:r w:rsidRPr="00A44788">
        <w:rPr>
          <w:rFonts w:ascii="Arial Narrow" w:hAnsi="Arial Narrow" w:cs="Arial"/>
          <w:color w:val="7F7F7F" w:themeColor="text1" w:themeTint="80"/>
          <w:sz w:val="27"/>
          <w:szCs w:val="27"/>
        </w:rPr>
        <w:t>; y, por ser este el momento procesal oportuno se resuelve, conforme a los siguientes resultandos y subsecuentes considerandos: . . . . . . . . . . . . .</w:t>
      </w:r>
      <w:r w:rsidR="00731A19" w:rsidRPr="00A44788">
        <w:rPr>
          <w:rFonts w:ascii="Arial Narrow" w:hAnsi="Arial Narrow" w:cs="Arial"/>
          <w:color w:val="7F7F7F" w:themeColor="text1" w:themeTint="80"/>
          <w:sz w:val="27"/>
          <w:szCs w:val="27"/>
        </w:rPr>
        <w:t xml:space="preserve"> . . . . . . . . . . </w:t>
      </w:r>
    </w:p>
    <w:p w:rsidR="00B0764F" w:rsidRPr="00A44788" w:rsidRDefault="00B0764F" w:rsidP="00B0764F">
      <w:pPr>
        <w:spacing w:line="360" w:lineRule="auto"/>
        <w:ind w:firstLine="708"/>
        <w:jc w:val="both"/>
        <w:rPr>
          <w:rFonts w:ascii="Arial Narrow" w:hAnsi="Arial Narrow"/>
          <w:b/>
          <w:color w:val="7F7F7F" w:themeColor="text1" w:themeTint="80"/>
          <w:sz w:val="27"/>
          <w:szCs w:val="27"/>
        </w:rPr>
      </w:pPr>
    </w:p>
    <w:p w:rsidR="00C26835" w:rsidRPr="00A44788" w:rsidRDefault="00C26835" w:rsidP="00D63409">
      <w:pPr>
        <w:spacing w:line="360" w:lineRule="auto"/>
        <w:jc w:val="center"/>
        <w:rPr>
          <w:rFonts w:ascii="Arial Narrow" w:hAnsi="Arial Narrow"/>
          <w:b/>
          <w:color w:val="7F7F7F" w:themeColor="text1" w:themeTint="80"/>
          <w:sz w:val="27"/>
          <w:szCs w:val="27"/>
        </w:rPr>
      </w:pPr>
      <w:r w:rsidRPr="00A44788">
        <w:rPr>
          <w:rFonts w:ascii="Arial Narrow" w:hAnsi="Arial Narrow"/>
          <w:b/>
          <w:color w:val="7F7F7F" w:themeColor="text1" w:themeTint="80"/>
          <w:sz w:val="27"/>
          <w:szCs w:val="27"/>
        </w:rPr>
        <w:t>C O N S I D E R A N D O :</w:t>
      </w:r>
    </w:p>
    <w:p w:rsidR="00C26835" w:rsidRPr="00A44788" w:rsidRDefault="00C26835" w:rsidP="00D63409">
      <w:pPr>
        <w:spacing w:line="360" w:lineRule="auto"/>
        <w:jc w:val="center"/>
        <w:rPr>
          <w:rFonts w:ascii="Arial Narrow" w:hAnsi="Arial Narrow"/>
          <w:b/>
          <w:color w:val="7F7F7F" w:themeColor="text1" w:themeTint="80"/>
          <w:sz w:val="27"/>
          <w:szCs w:val="27"/>
        </w:rPr>
      </w:pPr>
    </w:p>
    <w:p w:rsidR="00C26835" w:rsidRPr="00A44788" w:rsidRDefault="00C26835" w:rsidP="00D91DE7">
      <w:pPr>
        <w:spacing w:line="360" w:lineRule="auto"/>
        <w:ind w:firstLine="708"/>
        <w:jc w:val="both"/>
        <w:rPr>
          <w:rFonts w:ascii="Arial Narrow" w:hAnsi="Arial Narrow"/>
          <w:b/>
          <w:color w:val="7F7F7F" w:themeColor="text1" w:themeTint="80"/>
          <w:sz w:val="16"/>
          <w:szCs w:val="16"/>
        </w:rPr>
      </w:pPr>
      <w:r w:rsidRPr="00A44788">
        <w:rPr>
          <w:rFonts w:ascii="Arial Narrow" w:hAnsi="Arial Narrow"/>
          <w:b/>
          <w:color w:val="7F7F7F" w:themeColor="text1" w:themeTint="80"/>
          <w:sz w:val="27"/>
          <w:szCs w:val="27"/>
        </w:rPr>
        <w:t>SEGUNDO.-</w:t>
      </w:r>
      <w:r w:rsidRPr="00A44788">
        <w:rPr>
          <w:rFonts w:ascii="Arial Narrow" w:hAnsi="Arial Narrow"/>
          <w:color w:val="7F7F7F" w:themeColor="text1" w:themeTint="80"/>
          <w:sz w:val="27"/>
          <w:szCs w:val="27"/>
        </w:rPr>
        <w:t xml:space="preserve"> Que la parte actora impugna </w:t>
      </w:r>
      <w:r w:rsidR="00CB5AA5" w:rsidRPr="00A44788">
        <w:rPr>
          <w:rFonts w:ascii="Arial Narrow" w:hAnsi="Arial Narrow"/>
          <w:color w:val="7F7F7F" w:themeColor="text1" w:themeTint="80"/>
          <w:sz w:val="27"/>
          <w:szCs w:val="27"/>
        </w:rPr>
        <w:t>los siguientes</w:t>
      </w:r>
      <w:r w:rsidR="001C73E8" w:rsidRPr="00A44788">
        <w:rPr>
          <w:rFonts w:ascii="Arial Narrow" w:hAnsi="Arial Narrow"/>
          <w:color w:val="7F7F7F" w:themeColor="text1" w:themeTint="80"/>
          <w:sz w:val="27"/>
          <w:szCs w:val="27"/>
        </w:rPr>
        <w:t xml:space="preserve"> actos: a)</w:t>
      </w:r>
      <w:r w:rsidR="008841E0" w:rsidRPr="00A44788">
        <w:rPr>
          <w:rFonts w:ascii="Arial Narrow" w:hAnsi="Arial Narrow"/>
          <w:color w:val="7F7F7F" w:themeColor="text1" w:themeTint="80"/>
          <w:sz w:val="27"/>
          <w:szCs w:val="27"/>
        </w:rPr>
        <w:t>.- L</w:t>
      </w:r>
      <w:r w:rsidR="00CB5AA5" w:rsidRPr="00A44788">
        <w:rPr>
          <w:rFonts w:ascii="Arial Narrow" w:hAnsi="Arial Narrow"/>
          <w:color w:val="7F7F7F" w:themeColor="text1" w:themeTint="80"/>
          <w:sz w:val="27"/>
          <w:szCs w:val="27"/>
        </w:rPr>
        <w:t xml:space="preserve">a orden de valuación para la práctica del avalúo </w:t>
      </w:r>
      <w:r w:rsidRPr="00A44788">
        <w:rPr>
          <w:rFonts w:ascii="Arial Narrow" w:hAnsi="Arial Narrow" w:cs="Arial"/>
          <w:color w:val="7F7F7F" w:themeColor="text1" w:themeTint="80"/>
          <w:sz w:val="27"/>
          <w:szCs w:val="27"/>
        </w:rPr>
        <w:t xml:space="preserve">al inmueble con cuenta predial </w:t>
      </w:r>
      <w:r w:rsidR="00B0764F" w:rsidRPr="00A44788">
        <w:rPr>
          <w:rFonts w:ascii="Arial Narrow" w:hAnsi="Arial Narrow" w:cs="Arial"/>
          <w:color w:val="7F7F7F" w:themeColor="text1" w:themeTint="80"/>
          <w:sz w:val="27"/>
          <w:szCs w:val="27"/>
        </w:rPr>
        <w:t>…</w:t>
      </w:r>
      <w:r w:rsidR="00011A12" w:rsidRPr="00A44788">
        <w:rPr>
          <w:rFonts w:ascii="Arial Narrow" w:hAnsi="Arial Narrow" w:cs="Arial"/>
          <w:color w:val="7F7F7F" w:themeColor="text1" w:themeTint="80"/>
          <w:sz w:val="27"/>
          <w:szCs w:val="27"/>
        </w:rPr>
        <w:t>;</w:t>
      </w:r>
      <w:r w:rsidR="008841E0" w:rsidRPr="00A44788">
        <w:rPr>
          <w:rFonts w:ascii="Arial Narrow" w:hAnsi="Arial Narrow" w:cs="Arial"/>
          <w:color w:val="7F7F7F" w:themeColor="text1" w:themeTint="80"/>
          <w:sz w:val="27"/>
          <w:szCs w:val="27"/>
        </w:rPr>
        <w:t xml:space="preserve"> b).- E</w:t>
      </w:r>
      <w:r w:rsidR="001C73E8" w:rsidRPr="00A44788">
        <w:rPr>
          <w:rFonts w:ascii="Arial Narrow" w:hAnsi="Arial Narrow" w:cs="Arial"/>
          <w:color w:val="7F7F7F" w:themeColor="text1" w:themeTint="80"/>
          <w:sz w:val="27"/>
          <w:szCs w:val="27"/>
        </w:rPr>
        <w:t>l avalúo practicado a</w:t>
      </w:r>
      <w:r w:rsidR="00D02C88" w:rsidRPr="00A44788">
        <w:rPr>
          <w:rFonts w:ascii="Arial Narrow" w:hAnsi="Arial Narrow" w:cs="Arial"/>
          <w:color w:val="7F7F7F" w:themeColor="text1" w:themeTint="80"/>
          <w:sz w:val="27"/>
          <w:szCs w:val="27"/>
        </w:rPr>
        <w:t>l</w:t>
      </w:r>
      <w:r w:rsidR="001C73E8" w:rsidRPr="00A44788">
        <w:rPr>
          <w:rFonts w:ascii="Arial Narrow" w:hAnsi="Arial Narrow" w:cs="Arial"/>
          <w:color w:val="7F7F7F" w:themeColor="text1" w:themeTint="80"/>
          <w:sz w:val="27"/>
          <w:szCs w:val="27"/>
        </w:rPr>
        <w:t xml:space="preserve"> referido inmueble</w:t>
      </w:r>
      <w:r w:rsidR="00D02C88" w:rsidRPr="00A44788">
        <w:rPr>
          <w:rFonts w:ascii="Arial Narrow" w:hAnsi="Arial Narrow" w:cs="Arial"/>
          <w:color w:val="7F7F7F" w:themeColor="text1" w:themeTint="80"/>
          <w:sz w:val="27"/>
          <w:szCs w:val="27"/>
        </w:rPr>
        <w:t xml:space="preserve">; </w:t>
      </w:r>
      <w:r w:rsidR="00011A12" w:rsidRPr="00A44788">
        <w:rPr>
          <w:rFonts w:ascii="Arial Narrow" w:hAnsi="Arial Narrow" w:cs="Arial"/>
          <w:color w:val="7F7F7F" w:themeColor="text1" w:themeTint="80"/>
          <w:sz w:val="27"/>
          <w:szCs w:val="27"/>
        </w:rPr>
        <w:t>y, c)</w:t>
      </w:r>
      <w:r w:rsidR="001C73E8" w:rsidRPr="00A44788">
        <w:rPr>
          <w:rFonts w:ascii="Arial Narrow" w:hAnsi="Arial Narrow" w:cs="Arial"/>
          <w:color w:val="7F7F7F" w:themeColor="text1" w:themeTint="80"/>
          <w:sz w:val="27"/>
          <w:szCs w:val="27"/>
        </w:rPr>
        <w:t>.-</w:t>
      </w:r>
      <w:r w:rsidR="00011A12" w:rsidRPr="00A44788">
        <w:rPr>
          <w:rFonts w:ascii="Arial Narrow" w:hAnsi="Arial Narrow" w:cs="Arial"/>
          <w:color w:val="7F7F7F" w:themeColor="text1" w:themeTint="80"/>
          <w:sz w:val="27"/>
          <w:szCs w:val="27"/>
        </w:rPr>
        <w:t xml:space="preserve"> L</w:t>
      </w:r>
      <w:r w:rsidR="00D02C88" w:rsidRPr="00A44788">
        <w:rPr>
          <w:rFonts w:ascii="Arial Narrow" w:hAnsi="Arial Narrow" w:cs="Arial"/>
          <w:color w:val="7F7F7F" w:themeColor="text1" w:themeTint="80"/>
          <w:sz w:val="27"/>
          <w:szCs w:val="27"/>
        </w:rPr>
        <w:t xml:space="preserve">a determinación en cantidad liquida del crédito fiscal que se hace constar en el estado de cuenta </w:t>
      </w:r>
      <w:r w:rsidR="00B0764F" w:rsidRPr="00A44788">
        <w:rPr>
          <w:rFonts w:ascii="Arial Narrow" w:hAnsi="Arial Narrow" w:cs="Arial"/>
          <w:color w:val="7F7F7F" w:themeColor="text1" w:themeTint="80"/>
          <w:sz w:val="27"/>
          <w:szCs w:val="27"/>
        </w:rPr>
        <w:t>…</w:t>
      </w:r>
      <w:r w:rsidR="00D02C88" w:rsidRPr="00A44788">
        <w:rPr>
          <w:rFonts w:ascii="Arial Narrow" w:hAnsi="Arial Narrow" w:cs="Arial"/>
          <w:color w:val="7F7F7F" w:themeColor="text1" w:themeTint="80"/>
          <w:sz w:val="27"/>
          <w:szCs w:val="27"/>
        </w:rPr>
        <w:t>, integrado por concepto</w:t>
      </w:r>
      <w:r w:rsidR="008841E0" w:rsidRPr="00A44788">
        <w:rPr>
          <w:rFonts w:ascii="Arial Narrow" w:hAnsi="Arial Narrow" w:cs="Arial"/>
          <w:color w:val="7F7F7F" w:themeColor="text1" w:themeTint="80"/>
          <w:sz w:val="27"/>
          <w:szCs w:val="27"/>
        </w:rPr>
        <w:t xml:space="preserve"> de</w:t>
      </w:r>
      <w:r w:rsidR="00D02C88" w:rsidRPr="00A44788">
        <w:rPr>
          <w:rFonts w:ascii="Arial Narrow" w:hAnsi="Arial Narrow" w:cs="Arial"/>
          <w:color w:val="7F7F7F" w:themeColor="text1" w:themeTint="80"/>
          <w:sz w:val="27"/>
          <w:szCs w:val="27"/>
        </w:rPr>
        <w:t xml:space="preserve"> impuesto predial </w:t>
      </w:r>
      <w:r w:rsidR="00B0764F" w:rsidRPr="00A44788">
        <w:rPr>
          <w:rFonts w:ascii="Arial Narrow" w:hAnsi="Arial Narrow" w:cs="Arial"/>
          <w:color w:val="7F7F7F" w:themeColor="text1" w:themeTint="80"/>
          <w:sz w:val="27"/>
          <w:szCs w:val="27"/>
        </w:rPr>
        <w:t>…</w:t>
      </w:r>
      <w:r w:rsidR="008841E0" w:rsidRPr="00A44788">
        <w:rPr>
          <w:rFonts w:ascii="Arial Narrow" w:hAnsi="Arial Narrow" w:cs="Arial"/>
          <w:color w:val="7F7F7F" w:themeColor="text1" w:themeTint="80"/>
          <w:sz w:val="27"/>
          <w:szCs w:val="27"/>
        </w:rPr>
        <w:t xml:space="preserve"> y </w:t>
      </w:r>
      <w:r w:rsidR="00D8277C" w:rsidRPr="00A44788">
        <w:rPr>
          <w:rFonts w:ascii="Arial Narrow" w:hAnsi="Arial Narrow" w:cs="Arial"/>
          <w:color w:val="7F7F7F" w:themeColor="text1" w:themeTint="80"/>
          <w:sz w:val="27"/>
          <w:szCs w:val="27"/>
        </w:rPr>
        <w:t xml:space="preserve">de </w:t>
      </w:r>
      <w:r w:rsidR="008841E0" w:rsidRPr="00A44788">
        <w:rPr>
          <w:rFonts w:ascii="Arial Narrow" w:hAnsi="Arial Narrow" w:cs="Arial"/>
          <w:color w:val="7F7F7F" w:themeColor="text1" w:themeTint="80"/>
          <w:sz w:val="27"/>
          <w:szCs w:val="27"/>
        </w:rPr>
        <w:t>honorarios por avalúo. Y,</w:t>
      </w:r>
      <w:r w:rsidR="008841E0" w:rsidRPr="00A44788">
        <w:rPr>
          <w:rFonts w:ascii="Arial Narrow" w:hAnsi="Arial Narrow"/>
          <w:color w:val="7F7F7F" w:themeColor="text1" w:themeTint="80"/>
          <w:sz w:val="27"/>
          <w:szCs w:val="27"/>
        </w:rPr>
        <w:t xml:space="preserve"> la existencia de los actos impugnados se encuentra acreditad en autos, </w:t>
      </w:r>
      <w:r w:rsidR="00011A12" w:rsidRPr="00A44788">
        <w:rPr>
          <w:rFonts w:ascii="Arial Narrow" w:hAnsi="Arial Narrow"/>
          <w:color w:val="7F7F7F" w:themeColor="text1" w:themeTint="80"/>
          <w:sz w:val="27"/>
          <w:szCs w:val="27"/>
        </w:rPr>
        <w:t>la del primero con el reconocimiento que hace la autoridad en la contestación de la demanda</w:t>
      </w:r>
      <w:r w:rsidRPr="00A44788">
        <w:rPr>
          <w:rFonts w:ascii="Arial Narrow" w:hAnsi="Arial Narrow"/>
          <w:color w:val="7F7F7F" w:themeColor="text1" w:themeTint="80"/>
          <w:sz w:val="27"/>
          <w:szCs w:val="27"/>
        </w:rPr>
        <w:t>,</w:t>
      </w:r>
      <w:r w:rsidR="00011A12" w:rsidRPr="00A44788">
        <w:rPr>
          <w:rFonts w:ascii="Arial Narrow" w:hAnsi="Arial Narrow"/>
          <w:color w:val="7F7F7F" w:themeColor="text1" w:themeTint="80"/>
          <w:sz w:val="27"/>
          <w:szCs w:val="27"/>
        </w:rPr>
        <w:t xml:space="preserve"> al afirmar que existe la orden de valuación y que fue notificada al promovente;</w:t>
      </w:r>
      <w:r w:rsidRPr="00A44788">
        <w:rPr>
          <w:rFonts w:ascii="Arial Narrow" w:hAnsi="Arial Narrow"/>
          <w:color w:val="7F7F7F" w:themeColor="text1" w:themeTint="80"/>
          <w:sz w:val="27"/>
          <w:szCs w:val="27"/>
        </w:rPr>
        <w:t xml:space="preserve"> el </w:t>
      </w:r>
      <w:r w:rsidR="00011A12" w:rsidRPr="00A44788">
        <w:rPr>
          <w:rFonts w:ascii="Arial Narrow" w:hAnsi="Arial Narrow"/>
          <w:color w:val="7F7F7F" w:themeColor="text1" w:themeTint="80"/>
          <w:sz w:val="27"/>
          <w:szCs w:val="27"/>
        </w:rPr>
        <w:t xml:space="preserve">segundo </w:t>
      </w:r>
      <w:r w:rsidR="001C73E8" w:rsidRPr="00A44788">
        <w:rPr>
          <w:rFonts w:ascii="Arial Narrow" w:hAnsi="Arial Narrow"/>
          <w:color w:val="7F7F7F" w:themeColor="text1" w:themeTint="80"/>
          <w:sz w:val="27"/>
          <w:szCs w:val="27"/>
        </w:rPr>
        <w:t xml:space="preserve">y tercer </w:t>
      </w:r>
      <w:r w:rsidR="00011A12" w:rsidRPr="00A44788">
        <w:rPr>
          <w:rFonts w:ascii="Arial Narrow" w:hAnsi="Arial Narrow"/>
          <w:color w:val="7F7F7F" w:themeColor="text1" w:themeTint="80"/>
          <w:sz w:val="27"/>
          <w:szCs w:val="27"/>
        </w:rPr>
        <w:t>acto</w:t>
      </w:r>
      <w:r w:rsidR="001C73E8" w:rsidRPr="00A44788">
        <w:rPr>
          <w:rFonts w:ascii="Arial Narrow" w:hAnsi="Arial Narrow"/>
          <w:color w:val="7F7F7F" w:themeColor="text1" w:themeTint="80"/>
          <w:sz w:val="27"/>
          <w:szCs w:val="27"/>
        </w:rPr>
        <w:t>s</w:t>
      </w:r>
      <w:r w:rsidR="00011A12" w:rsidRPr="00A44788">
        <w:rPr>
          <w:rFonts w:ascii="Arial Narrow" w:hAnsi="Arial Narrow"/>
          <w:color w:val="7F7F7F" w:themeColor="text1" w:themeTint="80"/>
          <w:sz w:val="27"/>
          <w:szCs w:val="27"/>
        </w:rPr>
        <w:t xml:space="preserve"> con el estado de cuenta en el que se expresa que el </w:t>
      </w:r>
      <w:r w:rsidRPr="00A44788">
        <w:rPr>
          <w:rFonts w:ascii="Arial Narrow" w:hAnsi="Arial Narrow"/>
          <w:color w:val="7F7F7F" w:themeColor="text1" w:themeTint="80"/>
          <w:sz w:val="27"/>
          <w:szCs w:val="27"/>
        </w:rPr>
        <w:t>avalúo</w:t>
      </w:r>
      <w:r w:rsidR="00011A12" w:rsidRPr="00A44788">
        <w:rPr>
          <w:rFonts w:ascii="Arial Narrow" w:hAnsi="Arial Narrow"/>
          <w:color w:val="7F7F7F" w:themeColor="text1" w:themeTint="80"/>
          <w:sz w:val="27"/>
          <w:szCs w:val="27"/>
        </w:rPr>
        <w:t xml:space="preserve"> se practicó</w:t>
      </w:r>
      <w:r w:rsidR="001C73E8" w:rsidRPr="00A44788">
        <w:rPr>
          <w:rFonts w:ascii="Arial Narrow" w:hAnsi="Arial Narrow"/>
          <w:color w:val="7F7F7F" w:themeColor="text1" w:themeTint="80"/>
          <w:sz w:val="27"/>
          <w:szCs w:val="27"/>
        </w:rPr>
        <w:t xml:space="preserve"> </w:t>
      </w:r>
      <w:r w:rsidR="00B0764F" w:rsidRPr="00A44788">
        <w:rPr>
          <w:rFonts w:ascii="Arial Narrow" w:hAnsi="Arial Narrow"/>
          <w:color w:val="7F7F7F" w:themeColor="text1" w:themeTint="80"/>
          <w:sz w:val="27"/>
          <w:szCs w:val="27"/>
        </w:rPr>
        <w:t>…</w:t>
      </w:r>
      <w:r w:rsidR="001C73E8" w:rsidRPr="00A44788">
        <w:rPr>
          <w:rFonts w:ascii="Arial Narrow" w:hAnsi="Arial Narrow"/>
          <w:color w:val="7F7F7F" w:themeColor="text1" w:themeTint="80"/>
          <w:sz w:val="27"/>
          <w:szCs w:val="27"/>
        </w:rPr>
        <w:t xml:space="preserve"> y con el reconocimiento que hace la autoridad en la contestación de la demanda, al afirmar que la valuación se llevó a cabo utilizado técnicas fotogramétricas</w:t>
      </w:r>
      <w:r w:rsidRPr="00A44788">
        <w:rPr>
          <w:rFonts w:ascii="Arial Narrow" w:hAnsi="Arial Narrow" w:cs="Arial"/>
          <w:color w:val="7F7F7F" w:themeColor="text1" w:themeTint="80"/>
          <w:sz w:val="27"/>
          <w:szCs w:val="27"/>
        </w:rPr>
        <w:t xml:space="preserve">. . . . . . . </w:t>
      </w:r>
    </w:p>
    <w:p w:rsidR="00C26835" w:rsidRPr="00A44788" w:rsidRDefault="00C26835" w:rsidP="00D91DE7">
      <w:pPr>
        <w:tabs>
          <w:tab w:val="left" w:pos="1080"/>
        </w:tabs>
        <w:spacing w:line="360" w:lineRule="auto"/>
        <w:jc w:val="both"/>
        <w:rPr>
          <w:rFonts w:ascii="Arial Narrow" w:hAnsi="Arial Narrow" w:cs="Arial"/>
          <w:b/>
          <w:color w:val="7F7F7F" w:themeColor="text1" w:themeTint="80"/>
          <w:sz w:val="27"/>
          <w:szCs w:val="27"/>
        </w:rPr>
      </w:pPr>
    </w:p>
    <w:p w:rsidR="00FE70CF" w:rsidRPr="00A44788" w:rsidRDefault="00C26835"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b/>
          <w:color w:val="7F7F7F" w:themeColor="text1" w:themeTint="80"/>
          <w:sz w:val="27"/>
          <w:szCs w:val="27"/>
        </w:rPr>
        <w:t>TERCERO.-</w:t>
      </w:r>
      <w:r w:rsidRPr="00A44788">
        <w:rPr>
          <w:rFonts w:ascii="Arial Narrow" w:hAnsi="Arial Narrow" w:cs="Arial"/>
          <w:color w:val="7F7F7F" w:themeColor="text1" w:themeTint="80"/>
          <w:sz w:val="27"/>
          <w:szCs w:val="27"/>
        </w:rPr>
        <w:t xml:space="preserve"> 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FE70CF" w:rsidRPr="00A44788" w:rsidRDefault="00FE70CF" w:rsidP="00D91DE7">
      <w:pPr>
        <w:tabs>
          <w:tab w:val="left" w:pos="1650"/>
        </w:tabs>
        <w:spacing w:line="360" w:lineRule="auto"/>
        <w:jc w:val="both"/>
        <w:rPr>
          <w:rFonts w:ascii="Arial Narrow" w:hAnsi="Arial Narrow" w:cs="Arial"/>
          <w:color w:val="7F7F7F" w:themeColor="text1" w:themeTint="80"/>
          <w:sz w:val="27"/>
          <w:szCs w:val="27"/>
        </w:rPr>
      </w:pPr>
    </w:p>
    <w:p w:rsidR="00FE70CF" w:rsidRPr="00A44788" w:rsidRDefault="00135C5C" w:rsidP="00D91DE7">
      <w:pPr>
        <w:tabs>
          <w:tab w:val="left" w:pos="1650"/>
        </w:tabs>
        <w:spacing w:line="360" w:lineRule="auto"/>
        <w:ind w:firstLine="709"/>
        <w:jc w:val="both"/>
        <w:rPr>
          <w:rFonts w:ascii="Arial Narrow" w:hAnsi="Arial Narrow"/>
          <w:color w:val="7F7F7F" w:themeColor="text1" w:themeTint="80"/>
          <w:sz w:val="27"/>
          <w:szCs w:val="27"/>
        </w:rPr>
      </w:pPr>
      <w:r w:rsidRPr="00A44788">
        <w:rPr>
          <w:rFonts w:ascii="Arial Narrow" w:hAnsi="Arial Narrow" w:cs="Arial"/>
          <w:color w:val="7F7F7F" w:themeColor="text1" w:themeTint="80"/>
          <w:sz w:val="27"/>
          <w:szCs w:val="27"/>
        </w:rPr>
        <w:t xml:space="preserve">El Tesorero Municipal no hace valer causal de improcedencia alguna y de las constancias que integran esta causa se advierte que no se actualiza ninguna otra de las previstas en el citado artículo 261; pero </w:t>
      </w:r>
      <w:r w:rsidR="00FE70CF" w:rsidRPr="00A44788">
        <w:rPr>
          <w:rFonts w:ascii="Arial Narrow" w:hAnsi="Arial Narrow"/>
          <w:color w:val="7F7F7F" w:themeColor="text1" w:themeTint="80"/>
          <w:sz w:val="27"/>
          <w:szCs w:val="27"/>
        </w:rPr>
        <w:t>en la contestación de la demanda opone las siguientes</w:t>
      </w:r>
      <w:r w:rsidRPr="00A44788">
        <w:rPr>
          <w:rFonts w:ascii="Arial Narrow" w:hAnsi="Arial Narrow"/>
          <w:color w:val="7F7F7F" w:themeColor="text1" w:themeTint="80"/>
          <w:sz w:val="27"/>
          <w:szCs w:val="27"/>
        </w:rPr>
        <w:t xml:space="preserve"> excepciones</w:t>
      </w:r>
      <w:r w:rsidR="00FE70CF" w:rsidRPr="00A44788">
        <w:rPr>
          <w:rFonts w:ascii="Arial Narrow" w:hAnsi="Arial Narrow"/>
          <w:color w:val="7F7F7F" w:themeColor="text1" w:themeTint="80"/>
          <w:sz w:val="27"/>
          <w:szCs w:val="27"/>
        </w:rPr>
        <w:t>:</w:t>
      </w:r>
      <w:r w:rsidR="00FE70CF" w:rsidRPr="00A44788">
        <w:rPr>
          <w:rFonts w:ascii="Arial Narrow" w:hAnsi="Arial Narrow" w:cs="Arial"/>
          <w:color w:val="7F7F7F" w:themeColor="text1" w:themeTint="80"/>
          <w:sz w:val="27"/>
          <w:szCs w:val="27"/>
        </w:rPr>
        <w:t xml:space="preserve"> . . . . . . . . . . . . . . .</w:t>
      </w:r>
      <w:r w:rsidRPr="00A44788">
        <w:rPr>
          <w:rFonts w:ascii="Arial Narrow" w:hAnsi="Arial Narrow" w:cs="Arial"/>
          <w:color w:val="7F7F7F" w:themeColor="text1" w:themeTint="80"/>
          <w:sz w:val="27"/>
          <w:szCs w:val="27"/>
        </w:rPr>
        <w:t xml:space="preserve"> </w:t>
      </w:r>
      <w:r w:rsidR="00FE70CF" w:rsidRPr="00A44788">
        <w:rPr>
          <w:rFonts w:ascii="Arial Narrow" w:hAnsi="Arial Narrow" w:cs="Arial"/>
          <w:color w:val="7F7F7F" w:themeColor="text1" w:themeTint="80"/>
          <w:sz w:val="27"/>
          <w:szCs w:val="27"/>
        </w:rPr>
        <w:t xml:space="preserve"> . . </w:t>
      </w:r>
      <w:r w:rsidR="00FE70CF" w:rsidRPr="00A44788">
        <w:rPr>
          <w:rFonts w:ascii="Arial Narrow" w:hAnsi="Arial Narrow"/>
          <w:color w:val="7F7F7F" w:themeColor="text1" w:themeTint="80"/>
          <w:sz w:val="27"/>
          <w:szCs w:val="27"/>
        </w:rPr>
        <w:t xml:space="preserve">. . . . . . . . . . . . . . </w:t>
      </w:r>
    </w:p>
    <w:p w:rsidR="00FE70CF" w:rsidRPr="00A44788" w:rsidRDefault="00FE70CF" w:rsidP="00D91DE7">
      <w:pPr>
        <w:spacing w:line="360" w:lineRule="auto"/>
        <w:ind w:right="-91" w:firstLine="708"/>
        <w:jc w:val="both"/>
        <w:rPr>
          <w:rFonts w:ascii="Arial Narrow" w:hAnsi="Arial Narrow"/>
          <w:color w:val="7F7F7F" w:themeColor="text1" w:themeTint="80"/>
          <w:sz w:val="27"/>
          <w:szCs w:val="27"/>
        </w:rPr>
      </w:pPr>
      <w:r w:rsidRPr="00A44788">
        <w:rPr>
          <w:rFonts w:ascii="Arial Narrow" w:hAnsi="Arial Narrow" w:cs="Arial"/>
          <w:color w:val="7F7F7F" w:themeColor="text1" w:themeTint="80"/>
          <w:sz w:val="27"/>
          <w:szCs w:val="27"/>
        </w:rPr>
        <w:lastRenderedPageBreak/>
        <w:t xml:space="preserve">La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al señalarse al actor como destinatario de los actos combatidos, cuenta con interés jurídico para impugnarlos, toda vez que se encuentran dirigidos hacia su persona y con </w:t>
      </w:r>
      <w:r w:rsidR="00135C5C" w:rsidRPr="00A44788">
        <w:rPr>
          <w:rFonts w:ascii="Arial Narrow" w:hAnsi="Arial Narrow" w:cs="Arial"/>
          <w:color w:val="7F7F7F" w:themeColor="text1" w:themeTint="80"/>
          <w:sz w:val="27"/>
          <w:szCs w:val="27"/>
        </w:rPr>
        <w:t>el</w:t>
      </w:r>
      <w:r w:rsidRPr="00A44788">
        <w:rPr>
          <w:rFonts w:ascii="Arial Narrow" w:hAnsi="Arial Narrow" w:cs="Arial"/>
          <w:color w:val="7F7F7F" w:themeColor="text1" w:themeTint="80"/>
          <w:sz w:val="27"/>
          <w:szCs w:val="27"/>
        </w:rPr>
        <w:t xml:space="preserve"> carácter de destinatario de los actos impugnados está en aptitud de intentar la demanda que nos ocupa, por ende, no se actualiza la causal de improcedencia prevista en la fracción I del artículo 261 del citado Código de Procedimiento y Justicia Administrativa</w:t>
      </w:r>
      <w:r w:rsidRPr="00A44788">
        <w:rPr>
          <w:rFonts w:ascii="Arial Narrow" w:hAnsi="Arial Narrow"/>
          <w:color w:val="7F7F7F" w:themeColor="text1" w:themeTint="80"/>
          <w:sz w:val="27"/>
          <w:szCs w:val="27"/>
        </w:rPr>
        <w:t>. . . . . . . . . . . .</w:t>
      </w:r>
      <w:r w:rsidRPr="00A44788">
        <w:rPr>
          <w:rFonts w:ascii="Arial Narrow" w:hAnsi="Arial Narrow"/>
          <w:bCs/>
          <w:color w:val="7F7F7F" w:themeColor="text1" w:themeTint="80"/>
          <w:sz w:val="27"/>
          <w:szCs w:val="27"/>
        </w:rPr>
        <w:t xml:space="preserve"> . . . . . </w:t>
      </w:r>
      <w:r w:rsidRPr="00A44788">
        <w:rPr>
          <w:rFonts w:ascii="Arial Narrow" w:hAnsi="Arial Narrow" w:cs="Arial"/>
          <w:color w:val="7F7F7F" w:themeColor="text1" w:themeTint="80"/>
          <w:sz w:val="27"/>
          <w:szCs w:val="27"/>
        </w:rPr>
        <w:t xml:space="preserve">. . . . . . . . . . . . . . . . . . . . </w:t>
      </w:r>
    </w:p>
    <w:p w:rsidR="00D91DE7" w:rsidRPr="00A44788" w:rsidRDefault="00D91DE7" w:rsidP="00D91DE7">
      <w:pPr>
        <w:tabs>
          <w:tab w:val="left" w:pos="1305"/>
        </w:tabs>
        <w:spacing w:line="360" w:lineRule="auto"/>
        <w:ind w:right="-91"/>
        <w:jc w:val="both"/>
        <w:rPr>
          <w:rFonts w:ascii="Arial Narrow" w:hAnsi="Arial Narrow" w:cs="Arial"/>
          <w:color w:val="7F7F7F" w:themeColor="text1" w:themeTint="80"/>
          <w:sz w:val="27"/>
          <w:szCs w:val="27"/>
        </w:rPr>
      </w:pPr>
    </w:p>
    <w:p w:rsidR="00FE70CF" w:rsidRPr="00A44788" w:rsidRDefault="00FE70CF" w:rsidP="00D91DE7">
      <w:pPr>
        <w:spacing w:line="360" w:lineRule="auto"/>
        <w:ind w:right="-91"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La excepción derivada de los artículos 136, 137 y 138 del referido Código de Procedimiento y Justicia Administrativa, la opone, bajo el argumento de que el acto impugnado reúne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la legalidad o ilegalidad de</w:t>
      </w:r>
      <w:r w:rsidR="00135C5C" w:rsidRPr="00A44788">
        <w:rPr>
          <w:rFonts w:ascii="Arial Narrow" w:hAnsi="Arial Narrow" w:cs="Arial"/>
          <w:color w:val="7F7F7F" w:themeColor="text1" w:themeTint="80"/>
          <w:sz w:val="27"/>
          <w:szCs w:val="27"/>
        </w:rPr>
        <w:t xml:space="preserve"> </w:t>
      </w:r>
      <w:r w:rsidRPr="00A44788">
        <w:rPr>
          <w:rFonts w:ascii="Arial Narrow" w:hAnsi="Arial Narrow" w:cs="Arial"/>
          <w:color w:val="7F7F7F" w:themeColor="text1" w:themeTint="80"/>
          <w:sz w:val="27"/>
          <w:szCs w:val="27"/>
        </w:rPr>
        <w:t>l</w:t>
      </w:r>
      <w:r w:rsidR="00135C5C" w:rsidRPr="00A44788">
        <w:rPr>
          <w:rFonts w:ascii="Arial Narrow" w:hAnsi="Arial Narrow" w:cs="Arial"/>
          <w:color w:val="7F7F7F" w:themeColor="text1" w:themeTint="80"/>
          <w:sz w:val="27"/>
          <w:szCs w:val="27"/>
        </w:rPr>
        <w:t xml:space="preserve">os actos </w:t>
      </w:r>
      <w:r w:rsidRPr="00A44788">
        <w:rPr>
          <w:rFonts w:ascii="Arial Narrow" w:hAnsi="Arial Narrow" w:cs="Arial"/>
          <w:color w:val="7F7F7F" w:themeColor="text1" w:themeTint="80"/>
          <w:sz w:val="27"/>
          <w:szCs w:val="27"/>
        </w:rPr>
        <w:t>combatido</w:t>
      </w:r>
      <w:r w:rsidR="00135C5C" w:rsidRPr="00A44788">
        <w:rPr>
          <w:rFonts w:ascii="Arial Narrow" w:hAnsi="Arial Narrow" w:cs="Arial"/>
          <w:color w:val="7F7F7F" w:themeColor="text1" w:themeTint="80"/>
          <w:sz w:val="27"/>
          <w:szCs w:val="27"/>
        </w:rPr>
        <w:t>s</w:t>
      </w:r>
      <w:r w:rsidRPr="00A44788">
        <w:rPr>
          <w:rFonts w:ascii="Arial Narrow" w:hAnsi="Arial Narrow" w:cs="Arial"/>
          <w:color w:val="7F7F7F" w:themeColor="text1" w:themeTint="80"/>
          <w:sz w:val="27"/>
          <w:szCs w:val="27"/>
        </w:rPr>
        <w:t xml:space="preserve">. . . . . . . . </w:t>
      </w:r>
      <w:r w:rsidRPr="00A44788">
        <w:rPr>
          <w:rFonts w:ascii="Arial Narrow" w:hAnsi="Arial Narrow"/>
          <w:color w:val="7F7F7F" w:themeColor="text1" w:themeTint="80"/>
          <w:sz w:val="27"/>
          <w:szCs w:val="27"/>
        </w:rPr>
        <w:t>. . . . . . . . . . . .</w:t>
      </w:r>
      <w:r w:rsidRPr="00A44788">
        <w:rPr>
          <w:rFonts w:ascii="Arial Narrow" w:hAnsi="Arial Narrow"/>
          <w:bCs/>
          <w:color w:val="7F7F7F" w:themeColor="text1" w:themeTint="80"/>
          <w:sz w:val="27"/>
          <w:szCs w:val="27"/>
        </w:rPr>
        <w:t xml:space="preserve"> . . . . . </w:t>
      </w:r>
      <w:r w:rsidRPr="00A44788">
        <w:rPr>
          <w:rFonts w:ascii="Arial Narrow" w:hAnsi="Arial Narrow" w:cs="Arial"/>
          <w:color w:val="7F7F7F" w:themeColor="text1" w:themeTint="80"/>
          <w:sz w:val="27"/>
          <w:szCs w:val="27"/>
        </w:rPr>
        <w:t xml:space="preserve">. . . . . </w:t>
      </w:r>
      <w:r w:rsidR="00135C5C" w:rsidRPr="00A44788">
        <w:rPr>
          <w:rFonts w:ascii="Arial Narrow" w:hAnsi="Arial Narrow" w:cs="Arial"/>
          <w:color w:val="7F7F7F" w:themeColor="text1" w:themeTint="80"/>
          <w:sz w:val="27"/>
          <w:szCs w:val="27"/>
        </w:rPr>
        <w:t>. . . . . . . . . . .</w:t>
      </w:r>
    </w:p>
    <w:p w:rsidR="00FE70CF" w:rsidRPr="00A44788" w:rsidRDefault="00FE70CF" w:rsidP="00D91DE7">
      <w:pPr>
        <w:spacing w:line="360" w:lineRule="auto"/>
        <w:ind w:right="-91"/>
        <w:jc w:val="both"/>
        <w:rPr>
          <w:rFonts w:ascii="Arial Narrow" w:hAnsi="Arial Narrow" w:cs="Arial"/>
          <w:color w:val="7F7F7F" w:themeColor="text1" w:themeTint="80"/>
          <w:sz w:val="27"/>
          <w:szCs w:val="27"/>
        </w:rPr>
      </w:pPr>
    </w:p>
    <w:p w:rsidR="00FE70CF" w:rsidRPr="00A44788" w:rsidRDefault="00FE70CF"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La excepción Nom Mutati Libeli para el efecto de que una vez desahogada la contestación a la demanda, las posibles modificaciones o ampliaciones de la parte actora no sean consideradas; 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w:t>
      </w:r>
      <w:r w:rsidR="00135C5C" w:rsidRPr="00A44788">
        <w:rPr>
          <w:rFonts w:ascii="Arial Narrow" w:hAnsi="Arial Narrow" w:cs="Arial"/>
          <w:color w:val="7F7F7F" w:themeColor="text1" w:themeTint="80"/>
          <w:sz w:val="27"/>
          <w:szCs w:val="27"/>
        </w:rPr>
        <w:t xml:space="preserve">, pues de no hacerlo así, </w:t>
      </w:r>
      <w:r w:rsidRPr="00A44788">
        <w:rPr>
          <w:rFonts w:ascii="Arial Narrow" w:hAnsi="Arial Narrow" w:cs="Arial"/>
          <w:color w:val="7F7F7F" w:themeColor="text1" w:themeTint="80"/>
          <w:sz w:val="27"/>
          <w:szCs w:val="27"/>
        </w:rPr>
        <w:t>se incurri</w:t>
      </w:r>
      <w:r w:rsidR="00135C5C" w:rsidRPr="00A44788">
        <w:rPr>
          <w:rFonts w:ascii="Arial Narrow" w:hAnsi="Arial Narrow" w:cs="Arial"/>
          <w:color w:val="7F7F7F" w:themeColor="text1" w:themeTint="80"/>
          <w:sz w:val="27"/>
          <w:szCs w:val="27"/>
        </w:rPr>
        <w:t>ría</w:t>
      </w:r>
      <w:r w:rsidRPr="00A44788">
        <w:rPr>
          <w:rFonts w:ascii="Arial Narrow" w:hAnsi="Arial Narrow" w:cs="Arial"/>
          <w:color w:val="7F7F7F" w:themeColor="text1" w:themeTint="80"/>
          <w:sz w:val="27"/>
          <w:szCs w:val="27"/>
        </w:rPr>
        <w:t xml:space="preserve"> en una violación de naturaleza procesal. . . . . . . . . . . . . . . . . . . </w:t>
      </w:r>
      <w:r w:rsidR="00135C5C" w:rsidRPr="00A44788">
        <w:rPr>
          <w:rFonts w:ascii="Arial Narrow" w:hAnsi="Arial Narrow" w:cs="Arial"/>
          <w:color w:val="7F7F7F" w:themeColor="text1" w:themeTint="80"/>
          <w:sz w:val="27"/>
          <w:szCs w:val="27"/>
        </w:rPr>
        <w:t xml:space="preserve">. . . . . . . . . . . . . . . . . . . </w:t>
      </w:r>
    </w:p>
    <w:p w:rsidR="008754C3" w:rsidRPr="00A44788" w:rsidRDefault="008754C3" w:rsidP="00D91DE7">
      <w:pPr>
        <w:spacing w:line="360" w:lineRule="auto"/>
        <w:jc w:val="both"/>
        <w:rPr>
          <w:rFonts w:ascii="Arial Narrow" w:hAnsi="Arial Narrow" w:cs="Arial"/>
          <w:color w:val="7F7F7F" w:themeColor="text1" w:themeTint="80"/>
          <w:sz w:val="27"/>
          <w:szCs w:val="27"/>
        </w:rPr>
      </w:pPr>
    </w:p>
    <w:p w:rsidR="00FE70CF" w:rsidRPr="00A44788" w:rsidRDefault="00135C5C"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Ante la improcedencia de la anteriores excepciones,</w:t>
      </w:r>
      <w:r w:rsidR="00FE70CF" w:rsidRPr="00A44788">
        <w:rPr>
          <w:rFonts w:ascii="Arial Narrow" w:hAnsi="Arial Narrow" w:cs="Arial"/>
          <w:color w:val="7F7F7F" w:themeColor="text1" w:themeTint="80"/>
          <w:sz w:val="27"/>
          <w:szCs w:val="27"/>
        </w:rPr>
        <w:t xml:space="preserve"> el siguiente considerando se procede al estudio de los conceptos de impugnación. . . . . . . . . . . . </w:t>
      </w:r>
    </w:p>
    <w:p w:rsidR="00C26835" w:rsidRPr="00A44788" w:rsidRDefault="00C26835"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b/>
          <w:color w:val="7F7F7F" w:themeColor="text1" w:themeTint="80"/>
          <w:sz w:val="27"/>
          <w:szCs w:val="27"/>
        </w:rPr>
        <w:lastRenderedPageBreak/>
        <w:t>CUARTO.-</w:t>
      </w:r>
      <w:r w:rsidRPr="00A44788">
        <w:rPr>
          <w:rFonts w:ascii="Arial Narrow" w:hAnsi="Arial Narrow"/>
          <w:color w:val="7F7F7F" w:themeColor="text1" w:themeTint="80"/>
          <w:sz w:val="27"/>
          <w:szCs w:val="27"/>
        </w:rPr>
        <w:t xml:space="preserve"> En el </w:t>
      </w:r>
      <w:r w:rsidR="00142C4F" w:rsidRPr="00A44788">
        <w:rPr>
          <w:rFonts w:ascii="Arial Narrow" w:hAnsi="Arial Narrow"/>
          <w:color w:val="7F7F7F" w:themeColor="text1" w:themeTint="80"/>
          <w:sz w:val="27"/>
          <w:szCs w:val="27"/>
        </w:rPr>
        <w:t>segundo concepto de impugnación</w:t>
      </w:r>
      <w:r w:rsidR="000C3632" w:rsidRPr="00A44788">
        <w:rPr>
          <w:rFonts w:ascii="Arial Narrow" w:hAnsi="Arial Narrow"/>
          <w:color w:val="7F7F7F" w:themeColor="text1" w:themeTint="80"/>
          <w:sz w:val="27"/>
          <w:szCs w:val="27"/>
        </w:rPr>
        <w:t xml:space="preserve"> de la demanda, </w:t>
      </w:r>
      <w:r w:rsidR="00142C4F" w:rsidRPr="00A44788">
        <w:rPr>
          <w:rFonts w:ascii="Arial Narrow" w:hAnsi="Arial Narrow"/>
          <w:color w:val="7F7F7F" w:themeColor="text1" w:themeTint="80"/>
          <w:sz w:val="27"/>
          <w:szCs w:val="27"/>
        </w:rPr>
        <w:t xml:space="preserve">el actor </w:t>
      </w:r>
      <w:r w:rsidR="000C3632" w:rsidRPr="00A44788">
        <w:rPr>
          <w:rFonts w:ascii="Arial Narrow" w:hAnsi="Arial Narrow"/>
          <w:color w:val="7F7F7F" w:themeColor="text1" w:themeTint="80"/>
          <w:sz w:val="27"/>
          <w:szCs w:val="27"/>
        </w:rPr>
        <w:t>alega en lo</w:t>
      </w:r>
      <w:r w:rsidR="00142C4F" w:rsidRPr="00A44788">
        <w:rPr>
          <w:rFonts w:ascii="Arial Narrow" w:hAnsi="Arial Narrow"/>
          <w:color w:val="7F7F7F" w:themeColor="text1" w:themeTint="80"/>
          <w:sz w:val="27"/>
          <w:szCs w:val="27"/>
        </w:rPr>
        <w:t xml:space="preserve"> esencia</w:t>
      </w:r>
      <w:r w:rsidR="000C3632" w:rsidRPr="00A44788">
        <w:rPr>
          <w:rFonts w:ascii="Arial Narrow" w:hAnsi="Arial Narrow"/>
          <w:color w:val="7F7F7F" w:themeColor="text1" w:themeTint="80"/>
          <w:sz w:val="27"/>
          <w:szCs w:val="27"/>
        </w:rPr>
        <w:t>l</w:t>
      </w:r>
      <w:r w:rsidR="00142C4F" w:rsidRPr="00A44788">
        <w:rPr>
          <w:rFonts w:ascii="Arial Narrow" w:hAnsi="Arial Narrow"/>
          <w:color w:val="7F7F7F" w:themeColor="text1" w:themeTint="80"/>
          <w:sz w:val="27"/>
          <w:szCs w:val="27"/>
        </w:rPr>
        <w:t xml:space="preserve"> que la orden y práctica de avalúo </w:t>
      </w:r>
      <w:r w:rsidR="000C3632" w:rsidRPr="00A44788">
        <w:rPr>
          <w:rFonts w:ascii="Arial Narrow" w:hAnsi="Arial Narrow"/>
          <w:color w:val="7F7F7F" w:themeColor="text1" w:themeTint="80"/>
          <w:sz w:val="27"/>
          <w:szCs w:val="27"/>
        </w:rPr>
        <w:t>impugnado</w:t>
      </w:r>
      <w:r w:rsidR="00CE1BC5" w:rsidRPr="00A44788">
        <w:rPr>
          <w:rFonts w:ascii="Arial Narrow" w:hAnsi="Arial Narrow"/>
          <w:color w:val="7F7F7F" w:themeColor="text1" w:themeTint="80"/>
          <w:sz w:val="27"/>
          <w:szCs w:val="27"/>
        </w:rPr>
        <w:t xml:space="preserve"> afecta </w:t>
      </w:r>
      <w:r w:rsidR="00C549E9" w:rsidRPr="00A44788">
        <w:rPr>
          <w:rFonts w:ascii="Arial Narrow" w:hAnsi="Arial Narrow"/>
          <w:color w:val="7F7F7F" w:themeColor="text1" w:themeTint="80"/>
          <w:sz w:val="27"/>
          <w:szCs w:val="27"/>
        </w:rPr>
        <w:t>sus</w:t>
      </w:r>
      <w:r w:rsidR="00CE1BC5" w:rsidRPr="00A44788">
        <w:rPr>
          <w:rFonts w:ascii="Arial Narrow" w:hAnsi="Arial Narrow"/>
          <w:color w:val="7F7F7F" w:themeColor="text1" w:themeTint="80"/>
          <w:sz w:val="27"/>
          <w:szCs w:val="27"/>
        </w:rPr>
        <w:t xml:space="preserve"> derechos</w:t>
      </w:r>
      <w:r w:rsidR="000C3632" w:rsidRPr="00A44788">
        <w:rPr>
          <w:rFonts w:ascii="Arial Narrow" w:hAnsi="Arial Narrow"/>
          <w:color w:val="7F7F7F" w:themeColor="text1" w:themeTint="80"/>
          <w:sz w:val="27"/>
          <w:szCs w:val="27"/>
        </w:rPr>
        <w:t xml:space="preserve">, </w:t>
      </w:r>
      <w:r w:rsidR="00CE1BC5" w:rsidRPr="00A44788">
        <w:rPr>
          <w:rFonts w:ascii="Arial Narrow" w:hAnsi="Arial Narrow"/>
          <w:color w:val="7F7F7F" w:themeColor="text1" w:themeTint="80"/>
          <w:sz w:val="27"/>
          <w:szCs w:val="27"/>
        </w:rPr>
        <w:t>pues jamás se cumplió con lo prescrito en el artículo 176 de la Ley de Hacienda para los Municipios del Estado de Guanajuato, lo transcribe</w:t>
      </w:r>
      <w:r w:rsidR="000C3632" w:rsidRPr="00A44788">
        <w:rPr>
          <w:rFonts w:ascii="Arial Narrow" w:hAnsi="Arial Narrow"/>
          <w:color w:val="7F7F7F" w:themeColor="text1" w:themeTint="80"/>
          <w:sz w:val="27"/>
          <w:szCs w:val="27"/>
        </w:rPr>
        <w:t xml:space="preserve">; </w:t>
      </w:r>
      <w:r w:rsidR="00333AB2" w:rsidRPr="00A44788">
        <w:rPr>
          <w:rFonts w:ascii="Arial Narrow" w:hAnsi="Arial Narrow"/>
          <w:color w:val="7F7F7F" w:themeColor="text1" w:themeTint="80"/>
          <w:sz w:val="27"/>
          <w:szCs w:val="27"/>
        </w:rPr>
        <w:t xml:space="preserve">que </w:t>
      </w:r>
      <w:r w:rsidR="004F0E06" w:rsidRPr="00A44788">
        <w:rPr>
          <w:rFonts w:ascii="Arial Narrow" w:hAnsi="Arial Narrow"/>
          <w:color w:val="7F7F7F" w:themeColor="text1" w:themeTint="80"/>
          <w:sz w:val="27"/>
          <w:szCs w:val="27"/>
        </w:rPr>
        <w:t>si toma</w:t>
      </w:r>
      <w:r w:rsidR="000C3632" w:rsidRPr="00A44788">
        <w:rPr>
          <w:rFonts w:ascii="Arial Narrow" w:hAnsi="Arial Narrow"/>
          <w:color w:val="7F7F7F" w:themeColor="text1" w:themeTint="80"/>
          <w:sz w:val="27"/>
          <w:szCs w:val="27"/>
        </w:rPr>
        <w:t xml:space="preserve"> en consideración </w:t>
      </w:r>
      <w:r w:rsidR="004F0E06" w:rsidRPr="00A44788">
        <w:rPr>
          <w:rFonts w:ascii="Arial Narrow" w:hAnsi="Arial Narrow"/>
          <w:color w:val="7F7F7F" w:themeColor="text1" w:themeTint="80"/>
          <w:sz w:val="27"/>
          <w:szCs w:val="27"/>
        </w:rPr>
        <w:t xml:space="preserve">que fue expedido por la autoridad municipal un estado de cuenta en donde consta que se practicó el último avalúo al inmueble de su propiedad y en consecuencia que se modificó el valor fiscal (tan es así que se están cobrando honorarios por ese concepto), estipulándose uno nuevo </w:t>
      </w:r>
      <w:r w:rsidR="00B0764F" w:rsidRPr="00A44788">
        <w:rPr>
          <w:rFonts w:ascii="Arial Narrow" w:hAnsi="Arial Narrow"/>
          <w:color w:val="7F7F7F" w:themeColor="text1" w:themeTint="80"/>
          <w:sz w:val="27"/>
          <w:szCs w:val="27"/>
        </w:rPr>
        <w:t>…</w:t>
      </w:r>
      <w:r w:rsidR="004F0E06" w:rsidRPr="00A44788">
        <w:rPr>
          <w:rFonts w:ascii="Arial Narrow" w:hAnsi="Arial Narrow"/>
          <w:color w:val="7F7F7F" w:themeColor="text1" w:themeTint="80"/>
          <w:sz w:val="27"/>
          <w:szCs w:val="27"/>
        </w:rPr>
        <w:t>, se hace evidente el hecho de que dicha autoridad ordenó y ejecutó la práctica del nuevo avalúo sobre la citada heredad, pero sin cumplir los requisitos legales al efecto establecidos</w:t>
      </w:r>
      <w:r w:rsidR="005E10D0" w:rsidRPr="00A44788">
        <w:rPr>
          <w:rFonts w:ascii="Arial Narrow" w:hAnsi="Arial Narrow"/>
          <w:color w:val="7F7F7F" w:themeColor="text1" w:themeTint="80"/>
          <w:sz w:val="27"/>
          <w:szCs w:val="27"/>
        </w:rPr>
        <w:t>; que los ac</w:t>
      </w:r>
      <w:r w:rsidR="00EF1387" w:rsidRPr="00A44788">
        <w:rPr>
          <w:rFonts w:ascii="Arial Narrow" w:hAnsi="Arial Narrow"/>
          <w:color w:val="7F7F7F" w:themeColor="text1" w:themeTint="80"/>
          <w:sz w:val="27"/>
          <w:szCs w:val="27"/>
        </w:rPr>
        <w:t>tos de autoridad resultan violat</w:t>
      </w:r>
      <w:r w:rsidR="005E10D0" w:rsidRPr="00A44788">
        <w:rPr>
          <w:rFonts w:ascii="Arial Narrow" w:hAnsi="Arial Narrow"/>
          <w:color w:val="7F7F7F" w:themeColor="text1" w:themeTint="80"/>
          <w:sz w:val="27"/>
          <w:szCs w:val="27"/>
        </w:rPr>
        <w:t>orios de sus derechos</w:t>
      </w:r>
      <w:r w:rsidR="00EF1387" w:rsidRPr="00A44788">
        <w:rPr>
          <w:rFonts w:ascii="Arial Narrow" w:hAnsi="Arial Narrow"/>
          <w:color w:val="7F7F7F" w:themeColor="text1" w:themeTint="80"/>
          <w:sz w:val="27"/>
          <w:szCs w:val="27"/>
        </w:rPr>
        <w:t xml:space="preserve">, </w:t>
      </w:r>
      <w:r w:rsidR="001A1D2A" w:rsidRPr="00A44788">
        <w:rPr>
          <w:rFonts w:ascii="Arial Narrow" w:hAnsi="Arial Narrow"/>
          <w:color w:val="7F7F7F" w:themeColor="text1" w:themeTint="80"/>
          <w:sz w:val="27"/>
          <w:szCs w:val="27"/>
        </w:rPr>
        <w:t xml:space="preserve">ya que simplemente </w:t>
      </w:r>
      <w:r w:rsidR="005E10D0" w:rsidRPr="00A44788">
        <w:rPr>
          <w:rFonts w:ascii="Arial Narrow" w:hAnsi="Arial Narrow"/>
          <w:color w:val="7F7F7F" w:themeColor="text1" w:themeTint="80"/>
          <w:sz w:val="27"/>
          <w:szCs w:val="27"/>
        </w:rPr>
        <w:t xml:space="preserve">se </w:t>
      </w:r>
      <w:r w:rsidR="001A1D2A" w:rsidRPr="00A44788">
        <w:rPr>
          <w:rFonts w:ascii="Arial Narrow" w:hAnsi="Arial Narrow"/>
          <w:color w:val="7F7F7F" w:themeColor="text1" w:themeTint="80"/>
          <w:sz w:val="27"/>
          <w:szCs w:val="27"/>
        </w:rPr>
        <w:t>establece un nuevo valor fiscal de la propiedad</w:t>
      </w:r>
      <w:r w:rsidR="005E10D0" w:rsidRPr="00A44788">
        <w:rPr>
          <w:rFonts w:ascii="Arial Narrow" w:hAnsi="Arial Narrow"/>
          <w:color w:val="7F7F7F" w:themeColor="text1" w:themeTint="80"/>
          <w:sz w:val="27"/>
          <w:szCs w:val="27"/>
        </w:rPr>
        <w:t>,</w:t>
      </w:r>
      <w:r w:rsidR="001A1D2A" w:rsidRPr="00A44788">
        <w:rPr>
          <w:rFonts w:ascii="Arial Narrow" w:hAnsi="Arial Narrow"/>
          <w:color w:val="7F7F7F" w:themeColor="text1" w:themeTint="80"/>
          <w:sz w:val="27"/>
          <w:szCs w:val="27"/>
        </w:rPr>
        <w:t xml:space="preserve"> sin cumplir la formalidad de dictar</w:t>
      </w:r>
      <w:r w:rsidR="005E10D0" w:rsidRPr="00A44788">
        <w:rPr>
          <w:rFonts w:ascii="Arial Narrow" w:hAnsi="Arial Narrow"/>
          <w:color w:val="7F7F7F" w:themeColor="text1" w:themeTint="80"/>
          <w:sz w:val="27"/>
          <w:szCs w:val="27"/>
        </w:rPr>
        <w:t xml:space="preserve"> la orden de avalúo por escrito</w:t>
      </w:r>
      <w:r w:rsidR="001A1D2A" w:rsidRPr="00A44788">
        <w:rPr>
          <w:rFonts w:ascii="Arial Narrow" w:hAnsi="Arial Narrow"/>
          <w:color w:val="7F7F7F" w:themeColor="text1" w:themeTint="80"/>
          <w:sz w:val="27"/>
          <w:szCs w:val="27"/>
        </w:rPr>
        <w:t xml:space="preserve"> </w:t>
      </w:r>
      <w:r w:rsidR="005E10D0" w:rsidRPr="00A44788">
        <w:rPr>
          <w:rFonts w:ascii="Arial Narrow" w:hAnsi="Arial Narrow"/>
          <w:color w:val="7F7F7F" w:themeColor="text1" w:themeTint="80"/>
          <w:sz w:val="27"/>
          <w:szCs w:val="27"/>
        </w:rPr>
        <w:t>y</w:t>
      </w:r>
      <w:r w:rsidR="001A1D2A" w:rsidRPr="00A44788">
        <w:rPr>
          <w:rFonts w:ascii="Arial Narrow" w:hAnsi="Arial Narrow"/>
          <w:color w:val="7F7F7F" w:themeColor="text1" w:themeTint="80"/>
          <w:sz w:val="27"/>
          <w:szCs w:val="27"/>
        </w:rPr>
        <w:t xml:space="preserve"> niega lisa y llanamente que se le haya realizado notificación alguna</w:t>
      </w:r>
      <w:r w:rsidR="00C549E9" w:rsidRPr="00A44788">
        <w:rPr>
          <w:rFonts w:ascii="Arial Narrow" w:hAnsi="Arial Narrow"/>
          <w:color w:val="7F7F7F" w:themeColor="text1" w:themeTint="80"/>
          <w:sz w:val="27"/>
          <w:szCs w:val="27"/>
        </w:rPr>
        <w:t xml:space="preserve"> relacionada</w:t>
      </w:r>
      <w:r w:rsidR="001A1D2A" w:rsidRPr="00A44788">
        <w:rPr>
          <w:rFonts w:ascii="Arial Narrow" w:hAnsi="Arial Narrow"/>
          <w:color w:val="7F7F7F" w:themeColor="text1" w:themeTint="80"/>
          <w:sz w:val="27"/>
          <w:szCs w:val="27"/>
        </w:rPr>
        <w:t xml:space="preserve"> con algún avalúo </w:t>
      </w:r>
      <w:r w:rsidR="00C549E9" w:rsidRPr="00A44788">
        <w:rPr>
          <w:rFonts w:ascii="Arial Narrow" w:hAnsi="Arial Narrow"/>
          <w:color w:val="7F7F7F" w:themeColor="text1" w:themeTint="80"/>
          <w:sz w:val="27"/>
          <w:szCs w:val="27"/>
        </w:rPr>
        <w:t xml:space="preserve">a realizar en </w:t>
      </w:r>
      <w:r w:rsidR="001A1D2A" w:rsidRPr="00A44788">
        <w:rPr>
          <w:rFonts w:ascii="Arial Narrow" w:hAnsi="Arial Narrow"/>
          <w:color w:val="7F7F7F" w:themeColor="text1" w:themeTint="80"/>
          <w:sz w:val="27"/>
          <w:szCs w:val="27"/>
        </w:rPr>
        <w:t>su propiedad</w:t>
      </w:r>
      <w:r w:rsidR="00C549E9" w:rsidRPr="00A44788">
        <w:rPr>
          <w:rFonts w:ascii="Arial Narrow" w:hAnsi="Arial Narrow"/>
          <w:color w:val="7F7F7F" w:themeColor="text1" w:themeTint="80"/>
          <w:sz w:val="27"/>
          <w:szCs w:val="27"/>
        </w:rPr>
        <w:t>.</w:t>
      </w:r>
      <w:r w:rsidR="00DE2CDF" w:rsidRPr="00A44788">
        <w:rPr>
          <w:rFonts w:ascii="Arial Narrow" w:hAnsi="Arial Narrow"/>
          <w:color w:val="7F7F7F" w:themeColor="text1" w:themeTint="80"/>
          <w:sz w:val="27"/>
          <w:szCs w:val="27"/>
        </w:rPr>
        <w:t xml:space="preserve"> En tanto, el Tesorero Municipal en la contestación de la demanda aduce en lo toral que resulta inoperante e improcedente el agravio que se contesta, toda vez que contrario a lo que manifiesta el actor, p</w:t>
      </w:r>
      <w:r w:rsidR="00D8277C" w:rsidRPr="00A44788">
        <w:rPr>
          <w:rFonts w:ascii="Arial Narrow" w:hAnsi="Arial Narrow"/>
          <w:color w:val="7F7F7F" w:themeColor="text1" w:themeTint="80"/>
          <w:sz w:val="27"/>
          <w:szCs w:val="27"/>
        </w:rPr>
        <w:t>ara legar a la determinación de</w:t>
      </w:r>
      <w:r w:rsidR="00DE2CDF" w:rsidRPr="00A44788">
        <w:rPr>
          <w:rFonts w:ascii="Arial Narrow" w:hAnsi="Arial Narrow"/>
          <w:color w:val="7F7F7F" w:themeColor="text1" w:themeTint="80"/>
          <w:sz w:val="27"/>
          <w:szCs w:val="27"/>
        </w:rPr>
        <w:t xml:space="preserve"> modificación del valor fiscal del inmueble propiedad del actor, se agotaron los requisito</w:t>
      </w:r>
      <w:r w:rsidR="00D8277C" w:rsidRPr="00A44788">
        <w:rPr>
          <w:rFonts w:ascii="Arial Narrow" w:hAnsi="Arial Narrow"/>
          <w:color w:val="7F7F7F" w:themeColor="text1" w:themeTint="80"/>
          <w:sz w:val="27"/>
          <w:szCs w:val="27"/>
        </w:rPr>
        <w:t>s</w:t>
      </w:r>
      <w:r w:rsidR="00DE2CDF" w:rsidRPr="00A44788">
        <w:rPr>
          <w:rFonts w:ascii="Arial Narrow" w:hAnsi="Arial Narrow"/>
          <w:color w:val="7F7F7F" w:themeColor="text1" w:themeTint="80"/>
          <w:sz w:val="27"/>
          <w:szCs w:val="27"/>
        </w:rPr>
        <w:t xml:space="preserve"> establecidos en la Ley de Hacienda para los Municipios del Estado de Guanajuato; </w:t>
      </w:r>
      <w:r w:rsidR="007A0876" w:rsidRPr="00A44788">
        <w:rPr>
          <w:rFonts w:ascii="Arial Narrow" w:hAnsi="Arial Narrow"/>
          <w:color w:val="7F7F7F" w:themeColor="text1" w:themeTint="80"/>
          <w:sz w:val="27"/>
          <w:szCs w:val="27"/>
        </w:rPr>
        <w:t>que si existe la orden de valuación correspondiente, misma que fue notificada al promovente tal como e</w:t>
      </w:r>
      <w:r w:rsidR="00D8277C" w:rsidRPr="00A44788">
        <w:rPr>
          <w:rFonts w:ascii="Arial Narrow" w:hAnsi="Arial Narrow"/>
          <w:color w:val="7F7F7F" w:themeColor="text1" w:themeTint="80"/>
          <w:sz w:val="27"/>
          <w:szCs w:val="27"/>
        </w:rPr>
        <w:t>stablece el artículo 176 de la L</w:t>
      </w:r>
      <w:r w:rsidR="007A0876" w:rsidRPr="00A44788">
        <w:rPr>
          <w:rFonts w:ascii="Arial Narrow" w:hAnsi="Arial Narrow"/>
          <w:color w:val="7F7F7F" w:themeColor="text1" w:themeTint="80"/>
          <w:sz w:val="27"/>
          <w:szCs w:val="27"/>
        </w:rPr>
        <w:t xml:space="preserve">ey de Hacienda; que se llevó a cabo el procedimiento para la práctica del avalúo, establecido en la fracción IV del artículo 162 de la mencionada Ley de Hacienda, usando técnicas fotogramétricas, transcribe dicho numeral; que se dio </w:t>
      </w:r>
      <w:r w:rsidR="00FB1EDA" w:rsidRPr="00A44788">
        <w:rPr>
          <w:rFonts w:ascii="Arial Narrow" w:hAnsi="Arial Narrow"/>
          <w:color w:val="7F7F7F" w:themeColor="text1" w:themeTint="80"/>
          <w:sz w:val="27"/>
          <w:szCs w:val="27"/>
        </w:rPr>
        <w:t>i</w:t>
      </w:r>
      <w:r w:rsidR="007A0876" w:rsidRPr="00A44788">
        <w:rPr>
          <w:rFonts w:ascii="Arial Narrow" w:hAnsi="Arial Narrow"/>
          <w:color w:val="7F7F7F" w:themeColor="text1" w:themeTint="80"/>
          <w:sz w:val="27"/>
          <w:szCs w:val="27"/>
        </w:rPr>
        <w:t xml:space="preserve">ntervención a la parte actora y se emitió el avalúo que es el estudio técnico en el que se apoya la autoridad para determinar el nuevo valor fiscal del predio; por lo tanto, no resulta aplicable la fracción II del artículo en comento, por encontrarse en un supuesto diverso, es decir, se realizó el avalúo </w:t>
      </w:r>
      <w:r w:rsidR="00FB1EDA" w:rsidRPr="00A44788">
        <w:rPr>
          <w:rFonts w:ascii="Arial Narrow" w:hAnsi="Arial Narrow"/>
          <w:color w:val="7F7F7F" w:themeColor="text1" w:themeTint="80"/>
          <w:sz w:val="27"/>
          <w:szCs w:val="27"/>
        </w:rPr>
        <w:t>conforme lo establece la fracción IV del artículo 162, de igual forma resulta inaplicable lo dispuesto por el artículo 177, ambos de la mencionada Ley de Hacienda</w:t>
      </w:r>
      <w:r w:rsidRPr="00A44788">
        <w:rPr>
          <w:rFonts w:ascii="Arial Narrow" w:hAnsi="Arial Narrow"/>
          <w:color w:val="7F7F7F" w:themeColor="text1" w:themeTint="80"/>
          <w:sz w:val="27"/>
          <w:szCs w:val="27"/>
        </w:rPr>
        <w:t>.</w:t>
      </w:r>
      <w:r w:rsidR="00142C4F" w:rsidRPr="00A44788">
        <w:rPr>
          <w:rFonts w:ascii="Arial Narrow" w:hAnsi="Arial Narrow"/>
          <w:color w:val="7F7F7F" w:themeColor="text1" w:themeTint="80"/>
          <w:sz w:val="27"/>
          <w:szCs w:val="27"/>
        </w:rPr>
        <w:t xml:space="preserve"> . . . . . . . . . . . . . . . . . . . . . . </w:t>
      </w:r>
      <w:r w:rsidR="00B0764F" w:rsidRPr="00A44788">
        <w:rPr>
          <w:rFonts w:ascii="Arial Narrow" w:hAnsi="Arial Narrow"/>
          <w:color w:val="7F7F7F" w:themeColor="text1" w:themeTint="80"/>
          <w:sz w:val="27"/>
          <w:szCs w:val="27"/>
        </w:rPr>
        <w:t>. . . . . . . . . . . . . . . . . . . . . . . . . . . . . . . . . . . . .</w:t>
      </w:r>
    </w:p>
    <w:p w:rsidR="00C26835" w:rsidRPr="00A44788" w:rsidRDefault="00C26835" w:rsidP="00D91DE7">
      <w:pPr>
        <w:tabs>
          <w:tab w:val="left" w:pos="1305"/>
        </w:tabs>
        <w:spacing w:line="360" w:lineRule="auto"/>
        <w:jc w:val="both"/>
        <w:rPr>
          <w:rFonts w:ascii="Arial Narrow" w:hAnsi="Arial Narrow"/>
          <w:color w:val="7F7F7F" w:themeColor="text1" w:themeTint="80"/>
          <w:sz w:val="27"/>
          <w:szCs w:val="27"/>
        </w:rPr>
      </w:pPr>
    </w:p>
    <w:p w:rsidR="00C26835" w:rsidRPr="00A44788" w:rsidRDefault="00C26835"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olor w:val="7F7F7F" w:themeColor="text1" w:themeTint="80"/>
          <w:sz w:val="27"/>
          <w:szCs w:val="27"/>
        </w:rPr>
        <w:lastRenderedPageBreak/>
        <w:t xml:space="preserve">Agravio que resulta </w:t>
      </w:r>
      <w:r w:rsidRPr="00A44788">
        <w:rPr>
          <w:rFonts w:ascii="Arial Narrow" w:hAnsi="Arial Narrow"/>
          <w:b/>
          <w:color w:val="7F7F7F" w:themeColor="text1" w:themeTint="80"/>
          <w:sz w:val="27"/>
          <w:szCs w:val="27"/>
        </w:rPr>
        <w:t>FUNDADO</w:t>
      </w:r>
      <w:r w:rsidRPr="00A44788">
        <w:rPr>
          <w:rFonts w:ascii="Arial Narrow" w:hAnsi="Arial Narrow"/>
          <w:color w:val="7F7F7F" w:themeColor="text1" w:themeTint="80"/>
          <w:sz w:val="27"/>
          <w:szCs w:val="27"/>
        </w:rPr>
        <w:t xml:space="preserve">, en mérito de las razones lógicas y jurídicas siguientes: . . . . . . . . . . . . . . . . . . . . . . . . . . . . . . . . . . . . . . . . . . . . . . . . . . . . . . . . . . </w:t>
      </w:r>
    </w:p>
    <w:p w:rsidR="00DB44ED" w:rsidRPr="00A44788" w:rsidRDefault="00DB44ED" w:rsidP="00D91DE7">
      <w:pPr>
        <w:spacing w:line="360" w:lineRule="auto"/>
        <w:jc w:val="both"/>
        <w:rPr>
          <w:rFonts w:ascii="Arial Narrow" w:hAnsi="Arial Narrow" w:cs="Arial"/>
          <w:color w:val="7F7F7F" w:themeColor="text1" w:themeTint="80"/>
          <w:sz w:val="27"/>
          <w:szCs w:val="27"/>
        </w:rPr>
      </w:pPr>
    </w:p>
    <w:p w:rsidR="00DB44ED" w:rsidRPr="00A44788" w:rsidRDefault="00DB44ED" w:rsidP="00D91DE7">
      <w:pPr>
        <w:spacing w:line="360" w:lineRule="auto"/>
        <w:ind w:firstLine="709"/>
        <w:jc w:val="both"/>
        <w:rPr>
          <w:rFonts w:ascii="Arial Narrow" w:hAnsi="Arial Narrow"/>
          <w:color w:val="7F7F7F" w:themeColor="text1" w:themeTint="80"/>
          <w:sz w:val="27"/>
          <w:szCs w:val="27"/>
        </w:rPr>
      </w:pPr>
      <w:r w:rsidRPr="00A44788">
        <w:rPr>
          <w:rFonts w:ascii="Arial Narrow" w:hAnsi="Arial Narrow" w:cs="Arial"/>
          <w:color w:val="7F7F7F" w:themeColor="text1" w:themeTint="80"/>
          <w:sz w:val="27"/>
          <w:szCs w:val="27"/>
        </w:rPr>
        <w:t>E</w:t>
      </w:r>
      <w:r w:rsidRPr="00A44788">
        <w:rPr>
          <w:rFonts w:ascii="Arial Narrow" w:hAnsi="Arial Narrow"/>
          <w:color w:val="7F7F7F" w:themeColor="text1" w:themeTint="80"/>
          <w:sz w:val="27"/>
          <w:szCs w:val="27"/>
        </w:rPr>
        <w:t xml:space="preserve">n principio, cabe precisar que respecto al argumento expresado por la autoridad demandada en el sentido de que la práctica del avalúo se llevó a cabo conforme al procedimiento </w:t>
      </w:r>
      <w:r w:rsidRPr="00A44788">
        <w:rPr>
          <w:rFonts w:ascii="Arial Narrow" w:hAnsi="Arial Narrow" w:cs="Arial"/>
          <w:color w:val="7F7F7F" w:themeColor="text1" w:themeTint="80"/>
          <w:sz w:val="27"/>
          <w:szCs w:val="27"/>
        </w:rPr>
        <w:t xml:space="preserve">establecido en la </w:t>
      </w:r>
      <w:r w:rsidR="009960D4" w:rsidRPr="00A44788">
        <w:rPr>
          <w:rFonts w:ascii="Arial Narrow" w:hAnsi="Arial Narrow" w:cs="Arial"/>
          <w:color w:val="7F7F7F" w:themeColor="text1" w:themeTint="80"/>
          <w:sz w:val="27"/>
          <w:szCs w:val="27"/>
        </w:rPr>
        <w:t xml:space="preserve">fracción IV del artículo 162 de la </w:t>
      </w:r>
      <w:r w:rsidRPr="00A44788">
        <w:rPr>
          <w:rFonts w:ascii="Arial Narrow" w:hAnsi="Arial Narrow" w:cs="Arial"/>
          <w:color w:val="7F7F7F" w:themeColor="text1" w:themeTint="80"/>
          <w:sz w:val="27"/>
          <w:szCs w:val="27"/>
        </w:rPr>
        <w:t xml:space="preserve">Ley de Hacienda para los Municipios </w:t>
      </w:r>
      <w:r w:rsidR="009960D4" w:rsidRPr="00A44788">
        <w:rPr>
          <w:rFonts w:ascii="Arial Narrow" w:hAnsi="Arial Narrow" w:cs="Arial"/>
          <w:color w:val="7F7F7F" w:themeColor="text1" w:themeTint="80"/>
          <w:sz w:val="27"/>
          <w:szCs w:val="27"/>
        </w:rPr>
        <w:t>del Estado de Guanajuato</w:t>
      </w:r>
      <w:r w:rsidR="00FB1EDA" w:rsidRPr="00A44788">
        <w:rPr>
          <w:rFonts w:ascii="Arial Narrow" w:hAnsi="Arial Narrow" w:cs="Arial"/>
          <w:color w:val="7F7F7F" w:themeColor="text1" w:themeTint="80"/>
          <w:sz w:val="27"/>
          <w:szCs w:val="27"/>
        </w:rPr>
        <w:t xml:space="preserve"> y que resultan inaplicables la fracción II de este numeral y el </w:t>
      </w:r>
      <w:r w:rsidR="00D8277C" w:rsidRPr="00A44788">
        <w:rPr>
          <w:rFonts w:ascii="Arial Narrow" w:hAnsi="Arial Narrow" w:cs="Arial"/>
          <w:color w:val="7F7F7F" w:themeColor="text1" w:themeTint="80"/>
          <w:sz w:val="27"/>
          <w:szCs w:val="27"/>
        </w:rPr>
        <w:t xml:space="preserve">artículo </w:t>
      </w:r>
      <w:r w:rsidR="00FB1EDA" w:rsidRPr="00A44788">
        <w:rPr>
          <w:rFonts w:ascii="Arial Narrow" w:hAnsi="Arial Narrow" w:cs="Arial"/>
          <w:color w:val="7F7F7F" w:themeColor="text1" w:themeTint="80"/>
          <w:sz w:val="27"/>
          <w:szCs w:val="27"/>
        </w:rPr>
        <w:t>177 del mismo Ordenamiento,</w:t>
      </w:r>
      <w:r w:rsidRPr="00A44788">
        <w:rPr>
          <w:rFonts w:ascii="Arial Narrow" w:hAnsi="Arial Narrow" w:cs="Arial"/>
          <w:color w:val="7F7F7F" w:themeColor="text1" w:themeTint="80"/>
          <w:sz w:val="27"/>
          <w:szCs w:val="27"/>
        </w:rPr>
        <w:t xml:space="preserve"> </w:t>
      </w:r>
      <w:r w:rsidRPr="00A44788">
        <w:rPr>
          <w:rFonts w:ascii="Arial Narrow" w:hAnsi="Arial Narrow"/>
          <w:color w:val="7F7F7F" w:themeColor="text1" w:themeTint="80"/>
          <w:sz w:val="27"/>
          <w:szCs w:val="27"/>
        </w:rPr>
        <w:t>no le asiste la razón</w:t>
      </w:r>
      <w:r w:rsidR="00874C7A" w:rsidRPr="00A44788">
        <w:rPr>
          <w:rFonts w:ascii="Arial Narrow" w:hAnsi="Arial Narrow"/>
          <w:color w:val="7F7F7F" w:themeColor="text1" w:themeTint="80"/>
          <w:sz w:val="27"/>
          <w:szCs w:val="27"/>
        </w:rPr>
        <w:t xml:space="preserve"> jurídica, en virtud de que </w:t>
      </w:r>
      <w:r w:rsidRPr="00A44788">
        <w:rPr>
          <w:rFonts w:ascii="Arial Narrow" w:hAnsi="Arial Narrow"/>
          <w:color w:val="7F7F7F" w:themeColor="text1" w:themeTint="80"/>
          <w:sz w:val="27"/>
          <w:szCs w:val="27"/>
        </w:rPr>
        <w:t>antes de ordenarse la práctica del avalúo bajo la modalidad de técnicas fotogramétricas,</w:t>
      </w:r>
      <w:r w:rsidR="00BF39A8" w:rsidRPr="00A44788">
        <w:rPr>
          <w:rFonts w:ascii="Arial Narrow" w:hAnsi="Arial Narrow"/>
          <w:color w:val="7F7F7F" w:themeColor="text1" w:themeTint="80"/>
          <w:sz w:val="27"/>
          <w:szCs w:val="27"/>
        </w:rPr>
        <w:t xml:space="preserve"> según lo señalado en el precepto legal aludido,</w:t>
      </w:r>
      <w:r w:rsidRPr="00A44788">
        <w:rPr>
          <w:rFonts w:ascii="Arial Narrow" w:hAnsi="Arial Narrow"/>
          <w:color w:val="7F7F7F" w:themeColor="text1" w:themeTint="80"/>
          <w:sz w:val="27"/>
          <w:szCs w:val="27"/>
        </w:rPr>
        <w:t xml:space="preserve"> el Tesorero Municipal debe tener por acreditada la existencia de la orden de valuación y el levantamiento de una acta circunstanciada de la oposición de los ocupantes o poseedores del inmueble materia de la valuación, pues debe documentarse esta circunstancia, de ahí resulta, que el Tesorero Municipal insoslayablemente está obligado a emitir la orden de valuación, en la que designe al perito o peritos autorizados para practicar el avalúo respectivo, quien a su vez, se encuentra constreñido a presentarse en día y hora hábiles en el inmueble a valuar. . </w:t>
      </w:r>
      <w:r w:rsidR="00D8277C" w:rsidRPr="00A44788">
        <w:rPr>
          <w:rFonts w:ascii="Arial Narrow" w:hAnsi="Arial Narrow"/>
          <w:color w:val="7F7F7F" w:themeColor="text1" w:themeTint="80"/>
          <w:sz w:val="27"/>
          <w:szCs w:val="27"/>
        </w:rPr>
        <w:t xml:space="preserve">. . . . . . . . . . . . . . . . . . . . . . . . . . . . . . . . . . . . . . . . </w:t>
      </w:r>
    </w:p>
    <w:p w:rsidR="009960D4" w:rsidRPr="00A44788" w:rsidRDefault="009960D4" w:rsidP="00D91DE7">
      <w:pPr>
        <w:tabs>
          <w:tab w:val="left" w:pos="975"/>
        </w:tabs>
        <w:spacing w:line="360" w:lineRule="auto"/>
        <w:jc w:val="both"/>
        <w:rPr>
          <w:rFonts w:ascii="Arial Narrow" w:hAnsi="Arial Narrow"/>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olor w:val="7F7F7F" w:themeColor="text1" w:themeTint="80"/>
          <w:sz w:val="27"/>
          <w:szCs w:val="27"/>
        </w:rPr>
        <w:t>Lo anterior se concluye realizando una in</w:t>
      </w:r>
      <w:r w:rsidR="00903B49" w:rsidRPr="00A44788">
        <w:rPr>
          <w:rFonts w:ascii="Arial Narrow" w:hAnsi="Arial Narrow"/>
          <w:color w:val="7F7F7F" w:themeColor="text1" w:themeTint="80"/>
          <w:sz w:val="27"/>
          <w:szCs w:val="27"/>
        </w:rPr>
        <w:t xml:space="preserve">terpretación sistemática de los </w:t>
      </w:r>
      <w:r w:rsidRPr="00A44788">
        <w:rPr>
          <w:rFonts w:ascii="Arial Narrow" w:hAnsi="Arial Narrow"/>
          <w:color w:val="7F7F7F" w:themeColor="text1" w:themeTint="80"/>
          <w:sz w:val="27"/>
          <w:szCs w:val="27"/>
        </w:rPr>
        <w:t xml:space="preserve">artículos 162 fracción IV, 176 primer párrafo y 177 párrafos segundo y tercero, de la citada Ley de Hacienda, preceptos que en lo conducente establecen: . . . . . . . . . . . . </w:t>
      </w:r>
    </w:p>
    <w:p w:rsidR="00DB44ED" w:rsidRPr="00A44788" w:rsidRDefault="00DB44ED" w:rsidP="00D91DE7">
      <w:pPr>
        <w:spacing w:line="360" w:lineRule="auto"/>
        <w:jc w:val="both"/>
        <w:rPr>
          <w:rFonts w:ascii="Arial Narrow" w:hAnsi="Arial Narrow"/>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i/>
          <w:color w:val="7F7F7F" w:themeColor="text1" w:themeTint="80"/>
          <w:sz w:val="27"/>
          <w:szCs w:val="27"/>
        </w:rPr>
      </w:pPr>
      <w:r w:rsidRPr="00A44788">
        <w:rPr>
          <w:rFonts w:ascii="Arial Narrow" w:hAnsi="Arial Narrow" w:cs="Arial"/>
          <w:b/>
          <w:bCs/>
          <w:i/>
          <w:color w:val="7F7F7F" w:themeColor="text1" w:themeTint="80"/>
          <w:sz w:val="27"/>
          <w:szCs w:val="27"/>
        </w:rPr>
        <w:t>“</w:t>
      </w:r>
      <w:r w:rsidRPr="00A44788">
        <w:rPr>
          <w:rFonts w:ascii="Arial Narrow" w:hAnsi="Arial Narrow" w:cs="Arial"/>
          <w:bCs/>
          <w:i/>
          <w:color w:val="7F7F7F" w:themeColor="text1" w:themeTint="80"/>
          <w:sz w:val="27"/>
          <w:szCs w:val="27"/>
        </w:rPr>
        <w:t>Artículo</w:t>
      </w:r>
      <w:r w:rsidRPr="00A44788">
        <w:rPr>
          <w:rFonts w:ascii="Arial Narrow" w:hAnsi="Arial Narrow" w:cs="Arial"/>
          <w:i/>
          <w:color w:val="7F7F7F" w:themeColor="text1" w:themeTint="80"/>
          <w:sz w:val="27"/>
          <w:szCs w:val="27"/>
        </w:rPr>
        <w:t xml:space="preserve"> 162.- La base del Impuesto Predial será el valor fiscal de los inmuebles, el cual se determinará:</w:t>
      </w:r>
    </w:p>
    <w:p w:rsidR="00DB44ED" w:rsidRPr="00A44788" w:rsidRDefault="00DB44ED" w:rsidP="00D91DE7">
      <w:pPr>
        <w:spacing w:line="360" w:lineRule="auto"/>
        <w:jc w:val="both"/>
        <w:rPr>
          <w:rFonts w:ascii="Arial Narrow" w:hAnsi="Arial Narrow" w:cs="Arial"/>
          <w:i/>
          <w:color w:val="7F7F7F" w:themeColor="text1" w:themeTint="80"/>
          <w:sz w:val="27"/>
          <w:szCs w:val="27"/>
        </w:rPr>
      </w:pPr>
    </w:p>
    <w:p w:rsidR="00DB44ED" w:rsidRPr="00A44788" w:rsidRDefault="00DB44ED" w:rsidP="00D91DE7">
      <w:pPr>
        <w:spacing w:line="360" w:lineRule="auto"/>
        <w:ind w:firstLine="708"/>
        <w:jc w:val="both"/>
        <w:rPr>
          <w:rFonts w:ascii="Arial Narrow" w:hAnsi="Arial Narrow"/>
          <w:i/>
          <w:color w:val="7F7F7F" w:themeColor="text1" w:themeTint="80"/>
          <w:sz w:val="27"/>
          <w:szCs w:val="27"/>
        </w:rPr>
      </w:pPr>
      <w:r w:rsidRPr="00A44788">
        <w:rPr>
          <w:rFonts w:ascii="Arial Narrow" w:hAnsi="Arial Narrow" w:cs="Arial"/>
          <w:i/>
          <w:color w:val="7F7F7F" w:themeColor="text1" w:themeTint="80"/>
          <w:sz w:val="27"/>
          <w:szCs w:val="27"/>
        </w:rPr>
        <w:t>I, II, III</w:t>
      </w:r>
      <w:r w:rsidRPr="00A44788">
        <w:rPr>
          <w:rFonts w:ascii="Arial Narrow" w:hAnsi="Arial Narrow"/>
          <w:i/>
          <w:color w:val="7F7F7F" w:themeColor="text1" w:themeTint="80"/>
          <w:sz w:val="27"/>
          <w:szCs w:val="27"/>
        </w:rPr>
        <w:t xml:space="preserve">.-  . . . </w:t>
      </w:r>
    </w:p>
    <w:p w:rsidR="00DB44ED" w:rsidRPr="00A44788" w:rsidRDefault="00DB44ED" w:rsidP="00D91DE7">
      <w:pPr>
        <w:spacing w:line="360" w:lineRule="auto"/>
        <w:jc w:val="both"/>
        <w:rPr>
          <w:rFonts w:ascii="Arial Narrow" w:hAnsi="Arial Narrow" w:cs="Arial"/>
          <w:i/>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i/>
          <w:color w:val="7F7F7F" w:themeColor="text1" w:themeTint="80"/>
          <w:sz w:val="27"/>
          <w:szCs w:val="27"/>
        </w:rPr>
      </w:pPr>
      <w:r w:rsidRPr="00A44788">
        <w:rPr>
          <w:rFonts w:ascii="Arial Narrow" w:hAnsi="Arial Narrow" w:cs="Arial"/>
          <w:i/>
          <w:color w:val="7F7F7F" w:themeColor="text1" w:themeTint="80"/>
          <w:sz w:val="27"/>
          <w:szCs w:val="27"/>
        </w:rPr>
        <w:t xml:space="preserve">IV.- Por avalúo realizado por peritos autorizados por </w:t>
      </w:r>
      <w:smartTag w:uri="urn:schemas-microsoft-com:office:smarttags" w:element="PersonName">
        <w:smartTagPr>
          <w:attr w:name="ProductID" w:val="la Tesorer￭a Municipal"/>
        </w:smartTagPr>
        <w:r w:rsidRPr="00A44788">
          <w:rPr>
            <w:rFonts w:ascii="Arial Narrow" w:hAnsi="Arial Narrow" w:cs="Arial"/>
            <w:i/>
            <w:color w:val="7F7F7F" w:themeColor="text1" w:themeTint="80"/>
            <w:sz w:val="27"/>
            <w:szCs w:val="27"/>
          </w:rPr>
          <w:t>la Tesorería Municipal</w:t>
        </w:r>
      </w:smartTag>
      <w:r w:rsidRPr="00A44788">
        <w:rPr>
          <w:rFonts w:ascii="Arial Narrow" w:hAnsi="Arial Narrow" w:cs="Arial"/>
          <w:i/>
          <w:color w:val="7F7F7F" w:themeColor="text1" w:themeTint="80"/>
          <w:sz w:val="27"/>
          <w:szCs w:val="27"/>
        </w:rPr>
        <w:t>, usando medios o técnicas fotogramétricas.</w:t>
      </w:r>
      <w:r w:rsidRPr="00A44788">
        <w:rPr>
          <w:rFonts w:ascii="Arial Narrow" w:hAnsi="Arial Narrow" w:cs="Arial"/>
          <w:b/>
          <w:i/>
          <w:color w:val="7F7F7F" w:themeColor="text1" w:themeTint="80"/>
          <w:sz w:val="27"/>
          <w:szCs w:val="27"/>
        </w:rPr>
        <w:t>”</w:t>
      </w:r>
    </w:p>
    <w:p w:rsidR="00DB44ED" w:rsidRPr="00A44788" w:rsidRDefault="00DB44ED" w:rsidP="00D91DE7">
      <w:pPr>
        <w:spacing w:line="360" w:lineRule="auto"/>
        <w:jc w:val="both"/>
        <w:rPr>
          <w:rFonts w:ascii="Arial Narrow" w:hAnsi="Arial Narrow" w:cs="Arial"/>
          <w:bCs/>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i/>
          <w:color w:val="7F7F7F" w:themeColor="text1" w:themeTint="80"/>
          <w:sz w:val="27"/>
          <w:szCs w:val="27"/>
        </w:rPr>
      </w:pPr>
      <w:r w:rsidRPr="00A44788">
        <w:rPr>
          <w:rFonts w:ascii="Arial Narrow" w:hAnsi="Arial Narrow" w:cs="Arial"/>
          <w:bCs/>
          <w:i/>
          <w:color w:val="7F7F7F" w:themeColor="text1" w:themeTint="80"/>
          <w:sz w:val="27"/>
          <w:szCs w:val="27"/>
        </w:rPr>
        <w:t>“Artículo</w:t>
      </w:r>
      <w:r w:rsidRPr="00A44788">
        <w:rPr>
          <w:rFonts w:ascii="Arial Narrow" w:hAnsi="Arial Narrow" w:cs="Arial"/>
          <w:i/>
          <w:color w:val="7F7F7F" w:themeColor="text1" w:themeTint="80"/>
          <w:sz w:val="27"/>
          <w:szCs w:val="27"/>
        </w:rPr>
        <w:t xml:space="preserve">  176.-  La  práctica  de  todo  avalúo   deberá  ser  ordenada  por  la </w:t>
      </w:r>
    </w:p>
    <w:p w:rsidR="00DB44ED" w:rsidRPr="00A44788" w:rsidRDefault="00DB44ED" w:rsidP="00D91DE7">
      <w:pPr>
        <w:spacing w:line="360" w:lineRule="auto"/>
        <w:jc w:val="both"/>
        <w:rPr>
          <w:rFonts w:ascii="Arial Narrow" w:hAnsi="Arial Narrow" w:cs="Arial"/>
          <w:i/>
          <w:color w:val="7F7F7F" w:themeColor="text1" w:themeTint="80"/>
          <w:sz w:val="27"/>
          <w:szCs w:val="27"/>
        </w:rPr>
      </w:pPr>
      <w:r w:rsidRPr="00A44788">
        <w:rPr>
          <w:rFonts w:ascii="Arial Narrow" w:hAnsi="Arial Narrow" w:cs="Arial"/>
          <w:i/>
          <w:color w:val="7F7F7F" w:themeColor="text1" w:themeTint="80"/>
          <w:sz w:val="27"/>
          <w:szCs w:val="27"/>
        </w:rPr>
        <w:lastRenderedPageBreak/>
        <w:t>Tesorería Municipal por escrito en los casos que esta Ley establece y será practicada por los peritos que se designen para este efecto.</w:t>
      </w:r>
    </w:p>
    <w:p w:rsidR="00DB44ED" w:rsidRPr="00A44788" w:rsidRDefault="00DB44ED" w:rsidP="00D91DE7">
      <w:pPr>
        <w:spacing w:line="360" w:lineRule="auto"/>
        <w:jc w:val="both"/>
        <w:rPr>
          <w:rFonts w:ascii="Arial Narrow" w:hAnsi="Arial Narrow" w:cs="Arial"/>
          <w:i/>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s="Arial"/>
          <w:i/>
          <w:color w:val="7F7F7F" w:themeColor="text1" w:themeTint="80"/>
          <w:sz w:val="27"/>
          <w:szCs w:val="27"/>
        </w:rPr>
        <w:t>. . .”</w:t>
      </w:r>
    </w:p>
    <w:p w:rsidR="00DB44ED" w:rsidRPr="00A44788" w:rsidRDefault="00DB44ED" w:rsidP="00D91DE7">
      <w:pPr>
        <w:spacing w:line="360" w:lineRule="auto"/>
        <w:jc w:val="both"/>
        <w:rPr>
          <w:rFonts w:ascii="Arial Narrow" w:hAnsi="Arial Narrow" w:cs="Arial"/>
          <w:bCs/>
          <w:color w:val="7F7F7F" w:themeColor="text1" w:themeTint="80"/>
          <w:sz w:val="27"/>
          <w:szCs w:val="27"/>
        </w:rPr>
      </w:pPr>
    </w:p>
    <w:p w:rsidR="00DB44ED" w:rsidRPr="00A44788" w:rsidRDefault="00DB44ED" w:rsidP="00D91DE7">
      <w:pPr>
        <w:spacing w:line="360" w:lineRule="auto"/>
        <w:ind w:firstLine="708"/>
        <w:jc w:val="both"/>
        <w:rPr>
          <w:rFonts w:ascii="Arial Narrow" w:hAnsi="Arial Narrow"/>
          <w:i/>
          <w:color w:val="7F7F7F" w:themeColor="text1" w:themeTint="80"/>
          <w:sz w:val="27"/>
          <w:szCs w:val="27"/>
        </w:rPr>
      </w:pPr>
      <w:r w:rsidRPr="00A44788">
        <w:rPr>
          <w:rFonts w:ascii="Arial Narrow" w:hAnsi="Arial Narrow" w:cs="Arial"/>
          <w:b/>
          <w:bCs/>
          <w:i/>
          <w:color w:val="7F7F7F" w:themeColor="text1" w:themeTint="80"/>
          <w:sz w:val="27"/>
          <w:szCs w:val="27"/>
        </w:rPr>
        <w:t>“</w:t>
      </w:r>
      <w:r w:rsidRPr="00A44788">
        <w:rPr>
          <w:rFonts w:ascii="Arial Narrow" w:hAnsi="Arial Narrow" w:cs="Arial"/>
          <w:bCs/>
          <w:i/>
          <w:color w:val="7F7F7F" w:themeColor="text1" w:themeTint="80"/>
          <w:sz w:val="27"/>
          <w:szCs w:val="27"/>
        </w:rPr>
        <w:t>Artículo</w:t>
      </w:r>
      <w:r w:rsidRPr="00A44788">
        <w:rPr>
          <w:rFonts w:ascii="Arial Narrow" w:hAnsi="Arial Narrow" w:cs="Arial"/>
          <w:i/>
          <w:color w:val="7F7F7F" w:themeColor="text1" w:themeTint="80"/>
          <w:sz w:val="27"/>
          <w:szCs w:val="27"/>
        </w:rPr>
        <w:t xml:space="preserve"> 177.-  </w:t>
      </w:r>
      <w:r w:rsidRPr="00A44788">
        <w:rPr>
          <w:rFonts w:ascii="Arial Narrow" w:hAnsi="Arial Narrow"/>
          <w:i/>
          <w:color w:val="7F7F7F" w:themeColor="text1" w:themeTint="80"/>
          <w:sz w:val="27"/>
          <w:szCs w:val="27"/>
        </w:rPr>
        <w:t xml:space="preserve">. . . </w:t>
      </w:r>
    </w:p>
    <w:p w:rsidR="00DB44ED" w:rsidRPr="00A44788" w:rsidRDefault="00DB44ED" w:rsidP="00D91DE7">
      <w:pPr>
        <w:spacing w:line="360" w:lineRule="auto"/>
        <w:jc w:val="both"/>
        <w:rPr>
          <w:rFonts w:ascii="Arial Narrow" w:hAnsi="Arial Narrow" w:cs="Arial"/>
          <w:i/>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i/>
          <w:color w:val="7F7F7F" w:themeColor="text1" w:themeTint="80"/>
          <w:sz w:val="27"/>
          <w:szCs w:val="27"/>
        </w:rPr>
      </w:pPr>
      <w:r w:rsidRPr="00A44788">
        <w:rPr>
          <w:rFonts w:ascii="Arial Narrow" w:hAnsi="Arial Narrow" w:cs="Arial"/>
          <w:i/>
          <w:color w:val="7F7F7F" w:themeColor="text1" w:themeTint="80"/>
          <w:sz w:val="27"/>
          <w:szCs w:val="27"/>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r w:rsidRPr="00A44788">
        <w:rPr>
          <w:rFonts w:ascii="Arial Narrow" w:hAnsi="Arial Narrow"/>
          <w:color w:val="7F7F7F" w:themeColor="text1" w:themeTint="80"/>
          <w:sz w:val="27"/>
          <w:szCs w:val="27"/>
        </w:rPr>
        <w:t xml:space="preserve"> </w:t>
      </w:r>
    </w:p>
    <w:p w:rsidR="00DB44ED" w:rsidRPr="00A44788" w:rsidRDefault="00DB44ED" w:rsidP="00D91DE7">
      <w:pPr>
        <w:spacing w:line="360" w:lineRule="auto"/>
        <w:jc w:val="both"/>
        <w:rPr>
          <w:rFonts w:ascii="Arial Narrow" w:hAnsi="Arial Narrow" w:cs="Arial"/>
          <w:i/>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i/>
          <w:color w:val="7F7F7F" w:themeColor="text1" w:themeTint="80"/>
          <w:sz w:val="27"/>
          <w:szCs w:val="27"/>
        </w:rPr>
      </w:pPr>
      <w:r w:rsidRPr="00A44788">
        <w:rPr>
          <w:rFonts w:ascii="Arial Narrow" w:hAnsi="Arial Narrow" w:cs="Arial"/>
          <w:i/>
          <w:color w:val="7F7F7F" w:themeColor="text1" w:themeTint="80"/>
          <w:sz w:val="27"/>
          <w:szCs w:val="27"/>
        </w:rPr>
        <w:t>En estos casos la valuación se hará con base en los elementos de que se disponga.</w:t>
      </w:r>
      <w:r w:rsidRPr="00A44788">
        <w:rPr>
          <w:rFonts w:ascii="Arial Narrow" w:hAnsi="Arial Narrow" w:cs="Arial"/>
          <w:b/>
          <w:i/>
          <w:color w:val="7F7F7F" w:themeColor="text1" w:themeTint="80"/>
          <w:sz w:val="27"/>
          <w:szCs w:val="27"/>
        </w:rPr>
        <w:t>”</w:t>
      </w:r>
    </w:p>
    <w:p w:rsidR="00DB44ED" w:rsidRPr="00A44788" w:rsidRDefault="00DB44ED" w:rsidP="00D91DE7">
      <w:pPr>
        <w:spacing w:line="360" w:lineRule="auto"/>
        <w:jc w:val="both"/>
        <w:rPr>
          <w:rFonts w:ascii="Arial Narrow" w:hAnsi="Arial Narrow"/>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olor w:val="7F7F7F" w:themeColor="text1" w:themeTint="80"/>
          <w:sz w:val="27"/>
          <w:szCs w:val="27"/>
        </w:rPr>
        <w:t>En consecuencia, a fin de comprender y desentrañar el sentido y alcance de la fracción IV del artículo 162, frente al primer párrafo del 176 y a los párrafos segundo y tercero del artículo 177 de la invocada Ley de Hacienda, bajo la tesitura del método de interpretación sistemática deben analizarse estos preceptos legales en su conjunto y no en forma aislada cada numeral, por tal virtud, en primer lugar</w:t>
      </w:r>
      <w:r w:rsidR="00953342" w:rsidRPr="00A44788">
        <w:rPr>
          <w:rFonts w:ascii="Arial Narrow" w:hAnsi="Arial Narrow"/>
          <w:color w:val="7F7F7F" w:themeColor="text1" w:themeTint="80"/>
          <w:sz w:val="27"/>
          <w:szCs w:val="27"/>
        </w:rPr>
        <w:t>,</w:t>
      </w:r>
      <w:r w:rsidRPr="00A44788">
        <w:rPr>
          <w:rFonts w:ascii="Arial Narrow" w:hAnsi="Arial Narrow"/>
          <w:color w:val="7F7F7F" w:themeColor="text1" w:themeTint="80"/>
          <w:sz w:val="27"/>
          <w:szCs w:val="27"/>
        </w:rPr>
        <w:t xml:space="preserve"> el Tesorero Municipal debe emitir la orden de valuación</w:t>
      </w:r>
      <w:r w:rsidR="00953342" w:rsidRPr="00A44788">
        <w:rPr>
          <w:rFonts w:ascii="Arial Narrow" w:hAnsi="Arial Narrow"/>
          <w:color w:val="7F7F7F" w:themeColor="text1" w:themeTint="80"/>
          <w:sz w:val="27"/>
          <w:szCs w:val="27"/>
        </w:rPr>
        <w:t xml:space="preserve"> y</w:t>
      </w:r>
      <w:r w:rsidRPr="00A44788">
        <w:rPr>
          <w:rFonts w:ascii="Arial Narrow" w:hAnsi="Arial Narrow"/>
          <w:color w:val="7F7F7F" w:themeColor="text1" w:themeTint="80"/>
          <w:sz w:val="27"/>
          <w:szCs w:val="27"/>
        </w:rPr>
        <w:t xml:space="preserve"> designar en la misma al perito autorizado para practicar el avalúo; y, en segundo lugar, el perito debe realizar de manera personal una visita al inmueble</w:t>
      </w:r>
      <w:r w:rsidR="00D91DE7" w:rsidRPr="00A44788">
        <w:rPr>
          <w:rFonts w:ascii="Arial Narrow" w:hAnsi="Arial Narrow"/>
          <w:color w:val="7F7F7F" w:themeColor="text1" w:themeTint="80"/>
          <w:sz w:val="27"/>
          <w:szCs w:val="27"/>
        </w:rPr>
        <w:t xml:space="preserve"> y en su caso, hacer constar la </w:t>
      </w:r>
      <w:r w:rsidRPr="00A44788">
        <w:rPr>
          <w:rFonts w:ascii="Arial Narrow" w:hAnsi="Arial Narrow"/>
          <w:color w:val="7F7F7F" w:themeColor="text1" w:themeTint="80"/>
          <w:sz w:val="27"/>
          <w:szCs w:val="27"/>
        </w:rPr>
        <w:t>oposición de cualquier tipo en el acta circunstanciada que al efecto se levante, a fin de que proceda la valuación a través de la técnica fotogramétrica.</w:t>
      </w:r>
      <w:r w:rsidRPr="00A44788">
        <w:rPr>
          <w:rFonts w:ascii="Arial Narrow" w:hAnsi="Arial Narrow" w:cs="Arial"/>
          <w:color w:val="7F7F7F" w:themeColor="text1" w:themeTint="80"/>
          <w:sz w:val="27"/>
          <w:szCs w:val="27"/>
        </w:rPr>
        <w:t xml:space="preserve"> . . . . . . . . . . . . . . </w:t>
      </w:r>
    </w:p>
    <w:p w:rsidR="00DB44ED" w:rsidRPr="00A44788" w:rsidRDefault="00DB44ED" w:rsidP="00D91DE7">
      <w:pPr>
        <w:tabs>
          <w:tab w:val="left" w:pos="1230"/>
        </w:tabs>
        <w:spacing w:line="360" w:lineRule="auto"/>
        <w:jc w:val="both"/>
        <w:rPr>
          <w:rFonts w:ascii="Arial Narrow" w:hAnsi="Arial Narrow"/>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olor w:val="7F7F7F" w:themeColor="text1" w:themeTint="80"/>
          <w:sz w:val="27"/>
          <w:szCs w:val="27"/>
        </w:rPr>
        <w:t>Luego entonces, resulta evidente que en la especie no se actualizó la hipótesis jurídica contemplada en la fracción IV del artículo 162 de la multireferida Ley de Hacienda, en virtud de que en autos del presente sumario no se encuentra demostrad</w:t>
      </w:r>
      <w:r w:rsidR="00903B49" w:rsidRPr="00A44788">
        <w:rPr>
          <w:rFonts w:ascii="Arial Narrow" w:hAnsi="Arial Narrow"/>
          <w:color w:val="7F7F7F" w:themeColor="text1" w:themeTint="80"/>
          <w:sz w:val="27"/>
          <w:szCs w:val="27"/>
        </w:rPr>
        <w:t xml:space="preserve">a la oposición de los ocupantes </w:t>
      </w:r>
      <w:r w:rsidRPr="00A44788">
        <w:rPr>
          <w:rFonts w:ascii="Arial Narrow" w:hAnsi="Arial Narrow"/>
          <w:color w:val="7F7F7F" w:themeColor="text1" w:themeTint="80"/>
          <w:sz w:val="27"/>
          <w:szCs w:val="27"/>
        </w:rPr>
        <w:t xml:space="preserve">del inmueble materia de la valuación. . . . </w:t>
      </w:r>
    </w:p>
    <w:p w:rsidR="00DB44ED" w:rsidRPr="00A44788" w:rsidRDefault="00DB44ED" w:rsidP="00D91DE7">
      <w:pPr>
        <w:tabs>
          <w:tab w:val="left" w:pos="1245"/>
          <w:tab w:val="left" w:pos="1860"/>
        </w:tabs>
        <w:spacing w:line="360" w:lineRule="auto"/>
        <w:jc w:val="both"/>
        <w:rPr>
          <w:rFonts w:ascii="Arial Narrow" w:hAnsi="Arial Narrow"/>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olor w:val="7F7F7F" w:themeColor="text1" w:themeTint="80"/>
          <w:sz w:val="27"/>
          <w:szCs w:val="27"/>
        </w:rPr>
        <w:lastRenderedPageBreak/>
        <w:t xml:space="preserve">Precisado lo anterior, cabe mencionar que </w:t>
      </w:r>
      <w:r w:rsidRPr="00A44788">
        <w:rPr>
          <w:rFonts w:ascii="Arial Narrow" w:hAnsi="Arial Narrow" w:cs="Arial"/>
          <w:color w:val="7F7F7F" w:themeColor="text1" w:themeTint="80"/>
          <w:sz w:val="27"/>
          <w:szCs w:val="27"/>
        </w:rPr>
        <w:t xml:space="preserve">en el caso que se resuelve, </w:t>
      </w:r>
      <w:r w:rsidRPr="00A44788">
        <w:rPr>
          <w:rFonts w:ascii="Arial Narrow" w:hAnsi="Arial Narrow"/>
          <w:color w:val="7F7F7F" w:themeColor="text1" w:themeTint="80"/>
          <w:sz w:val="27"/>
          <w:szCs w:val="27"/>
        </w:rPr>
        <w:t xml:space="preserve">resulta evidente que </w:t>
      </w:r>
      <w:r w:rsidRPr="00A44788">
        <w:rPr>
          <w:rFonts w:ascii="Arial Narrow" w:hAnsi="Arial Narrow" w:cs="Arial"/>
          <w:color w:val="7F7F7F" w:themeColor="text1" w:themeTint="80"/>
          <w:sz w:val="27"/>
          <w:szCs w:val="27"/>
        </w:rPr>
        <w:t xml:space="preserve">previamente a la emisión del avalúo del inmueble </w:t>
      </w:r>
      <w:r w:rsidR="00B0764F" w:rsidRPr="00A44788">
        <w:rPr>
          <w:rFonts w:ascii="Arial Narrow" w:hAnsi="Arial Narrow" w:cs="Arial"/>
          <w:color w:val="7F7F7F" w:themeColor="text1" w:themeTint="80"/>
          <w:sz w:val="27"/>
          <w:szCs w:val="27"/>
        </w:rPr>
        <w:t>…</w:t>
      </w:r>
      <w:r w:rsidRPr="00A44788">
        <w:rPr>
          <w:rFonts w:ascii="Arial Narrow" w:hAnsi="Arial Narrow" w:cs="Arial"/>
          <w:color w:val="7F7F7F" w:themeColor="text1" w:themeTint="80"/>
          <w:sz w:val="27"/>
          <w:szCs w:val="27"/>
        </w:rPr>
        <w:t>, no se respetaron las formalidades esenciales del procedimiento de valuación,</w:t>
      </w:r>
      <w:r w:rsidRPr="00A44788">
        <w:rPr>
          <w:rFonts w:ascii="Arial Narrow" w:hAnsi="Arial Narrow"/>
          <w:color w:val="7F7F7F" w:themeColor="text1" w:themeTint="80"/>
          <w:sz w:val="27"/>
          <w:szCs w:val="27"/>
        </w:rPr>
        <w:t xml:space="preserve"> exigidas por los artículos </w:t>
      </w:r>
      <w:r w:rsidR="005414BD" w:rsidRPr="00A44788">
        <w:rPr>
          <w:rFonts w:ascii="Arial Narrow" w:hAnsi="Arial Narrow"/>
          <w:color w:val="7F7F7F" w:themeColor="text1" w:themeTint="80"/>
          <w:sz w:val="27"/>
          <w:szCs w:val="27"/>
        </w:rPr>
        <w:t xml:space="preserve">176 y </w:t>
      </w:r>
      <w:r w:rsidRPr="00A44788">
        <w:rPr>
          <w:rFonts w:ascii="Arial Narrow" w:hAnsi="Arial Narrow"/>
          <w:color w:val="7F7F7F" w:themeColor="text1" w:themeTint="80"/>
          <w:sz w:val="27"/>
          <w:szCs w:val="27"/>
        </w:rPr>
        <w:t xml:space="preserve">177 de la pluricitada Ley de Hacienda, </w:t>
      </w:r>
      <w:r w:rsidRPr="00A44788">
        <w:rPr>
          <w:rFonts w:ascii="Arial Narrow" w:hAnsi="Arial Narrow" w:cs="Arial"/>
          <w:color w:val="7F7F7F" w:themeColor="text1" w:themeTint="80"/>
          <w:sz w:val="27"/>
          <w:szCs w:val="27"/>
        </w:rPr>
        <w:t xml:space="preserve">como lo son la emisión de la orden de valuación, la designación formal del perito autorizado para practicar el avalúo, la práctica de la visita física al inmueble objeto de la valuación por parte del perito, entre otras razones, por lo siguiente: . . . . . . . . . . . . . </w:t>
      </w:r>
      <w:r w:rsidR="00525A7C" w:rsidRPr="00A44788">
        <w:rPr>
          <w:rFonts w:ascii="Arial Narrow" w:hAnsi="Arial Narrow" w:cs="Arial"/>
          <w:color w:val="7F7F7F" w:themeColor="text1" w:themeTint="80"/>
          <w:sz w:val="27"/>
          <w:szCs w:val="27"/>
        </w:rPr>
        <w:t xml:space="preserve">. . . . . . . . . . . . . . . . </w:t>
      </w:r>
      <w:r w:rsidR="005414BD" w:rsidRPr="00A44788">
        <w:rPr>
          <w:rFonts w:ascii="Arial Narrow" w:hAnsi="Arial Narrow" w:cs="Arial"/>
          <w:color w:val="7F7F7F" w:themeColor="text1" w:themeTint="80"/>
          <w:sz w:val="27"/>
          <w:szCs w:val="27"/>
        </w:rPr>
        <w:t xml:space="preserve">. . . </w:t>
      </w:r>
    </w:p>
    <w:p w:rsidR="00DB44ED" w:rsidRPr="00A44788" w:rsidRDefault="00DB44ED" w:rsidP="00D91DE7">
      <w:pPr>
        <w:spacing w:line="360" w:lineRule="auto"/>
        <w:jc w:val="both"/>
        <w:rPr>
          <w:rFonts w:ascii="Arial Narrow" w:hAnsi="Arial Narrow"/>
          <w:color w:val="7F7F7F" w:themeColor="text1" w:themeTint="80"/>
          <w:sz w:val="27"/>
          <w:szCs w:val="27"/>
        </w:rPr>
      </w:pPr>
    </w:p>
    <w:p w:rsidR="00874C7A"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olor w:val="7F7F7F" w:themeColor="text1" w:themeTint="80"/>
          <w:sz w:val="27"/>
          <w:szCs w:val="27"/>
        </w:rPr>
        <w:t xml:space="preserve">El actor en la demanda </w:t>
      </w:r>
      <w:r w:rsidRPr="00A44788">
        <w:rPr>
          <w:rFonts w:ascii="Arial Narrow" w:hAnsi="Arial Narrow" w:cs="Arial"/>
          <w:color w:val="7F7F7F" w:themeColor="text1" w:themeTint="80"/>
          <w:sz w:val="27"/>
          <w:szCs w:val="27"/>
        </w:rPr>
        <w:t>niega lisa y llanamen</w:t>
      </w:r>
      <w:r w:rsidR="00874C7A" w:rsidRPr="00A44788">
        <w:rPr>
          <w:rFonts w:ascii="Arial Narrow" w:hAnsi="Arial Narrow" w:cs="Arial"/>
          <w:color w:val="7F7F7F" w:themeColor="text1" w:themeTint="80"/>
          <w:sz w:val="27"/>
          <w:szCs w:val="27"/>
        </w:rPr>
        <w:t xml:space="preserve">te que </w:t>
      </w:r>
      <w:r w:rsidRPr="00A44788">
        <w:rPr>
          <w:rFonts w:ascii="Arial Narrow" w:hAnsi="Arial Narrow" w:cs="Arial"/>
          <w:color w:val="7F7F7F" w:themeColor="text1" w:themeTint="80"/>
          <w:sz w:val="27"/>
          <w:szCs w:val="27"/>
        </w:rPr>
        <w:t xml:space="preserve">se </w:t>
      </w:r>
      <w:r w:rsidR="00874C7A" w:rsidRPr="00A44788">
        <w:rPr>
          <w:rFonts w:ascii="Arial Narrow" w:hAnsi="Arial Narrow" w:cs="Arial"/>
          <w:color w:val="7F7F7F" w:themeColor="text1" w:themeTint="80"/>
          <w:sz w:val="27"/>
          <w:szCs w:val="27"/>
        </w:rPr>
        <w:t xml:space="preserve">le </w:t>
      </w:r>
      <w:r w:rsidRPr="00A44788">
        <w:rPr>
          <w:rFonts w:ascii="Arial Narrow" w:hAnsi="Arial Narrow" w:cs="Arial"/>
          <w:color w:val="7F7F7F" w:themeColor="text1" w:themeTint="80"/>
          <w:sz w:val="27"/>
          <w:szCs w:val="27"/>
        </w:rPr>
        <w:t xml:space="preserve">haya </w:t>
      </w:r>
      <w:r w:rsidR="007922E5" w:rsidRPr="00A44788">
        <w:rPr>
          <w:rFonts w:ascii="Arial Narrow" w:hAnsi="Arial Narrow" w:cs="Arial"/>
          <w:color w:val="7F7F7F" w:themeColor="text1" w:themeTint="80"/>
          <w:sz w:val="27"/>
          <w:szCs w:val="27"/>
        </w:rPr>
        <w:t>realizado alguna n</w:t>
      </w:r>
      <w:r w:rsidR="00874C7A" w:rsidRPr="00A44788">
        <w:rPr>
          <w:rFonts w:ascii="Arial Narrow" w:hAnsi="Arial Narrow" w:cs="Arial"/>
          <w:color w:val="7F7F7F" w:themeColor="text1" w:themeTint="80"/>
          <w:sz w:val="27"/>
          <w:szCs w:val="27"/>
        </w:rPr>
        <w:t>otifica</w:t>
      </w:r>
      <w:r w:rsidR="007922E5" w:rsidRPr="00A44788">
        <w:rPr>
          <w:rFonts w:ascii="Arial Narrow" w:hAnsi="Arial Narrow" w:cs="Arial"/>
          <w:color w:val="7F7F7F" w:themeColor="text1" w:themeTint="80"/>
          <w:sz w:val="27"/>
          <w:szCs w:val="27"/>
        </w:rPr>
        <w:t>ción relacionada con el avalúo de su propiedad</w:t>
      </w:r>
      <w:r w:rsidRPr="00A44788">
        <w:rPr>
          <w:rFonts w:ascii="Arial Narrow" w:hAnsi="Arial Narrow" w:cs="Arial"/>
          <w:color w:val="7F7F7F" w:themeColor="text1" w:themeTint="80"/>
          <w:sz w:val="27"/>
          <w:szCs w:val="27"/>
        </w:rPr>
        <w:t xml:space="preserve">; </w:t>
      </w:r>
      <w:r w:rsidRPr="00A44788">
        <w:rPr>
          <w:rFonts w:ascii="Arial Narrow" w:hAnsi="Arial Narrow"/>
          <w:color w:val="7F7F7F" w:themeColor="text1" w:themeTint="80"/>
          <w:sz w:val="27"/>
          <w:szCs w:val="27"/>
        </w:rPr>
        <w:t xml:space="preserve">y, por su parte, el Tesorero Municipal en la contestación de la demanda, sostiene que existe orden de valuación; por consiguiente, </w:t>
      </w:r>
      <w:r w:rsidRPr="00A44788">
        <w:rPr>
          <w:rFonts w:ascii="Arial Narrow" w:hAnsi="Arial Narrow" w:cs="Arial"/>
          <w:color w:val="7F7F7F" w:themeColor="text1" w:themeTint="80"/>
          <w:sz w:val="27"/>
          <w:szCs w:val="27"/>
        </w:rPr>
        <w:t xml:space="preserve">conforme a lo estipulado por el artículo 47 del Código de Procedimiento y Justicia Administrativa para el Estado y los Municipios de Guanajuato, dicha negativa obliga al Tesorero Municipal a demostrar la existencia de: a) la orden de valuación, b) la visita física al inmueble y c) la notificación de los resultados del avalúo y la determinación de la contribución, a fin de cumplir con las exigencias contempladas por los artículos 176 primer párrafo y 177 párrafos primero y segundo, de la pluricitada Ley de Hacienda, </w:t>
      </w:r>
      <w:r w:rsidRPr="00A44788">
        <w:rPr>
          <w:rFonts w:ascii="Arial Narrow" w:hAnsi="Arial Narrow" w:cs="Arial"/>
          <w:i/>
          <w:color w:val="7F7F7F" w:themeColor="text1" w:themeTint="80"/>
          <w:sz w:val="27"/>
          <w:szCs w:val="27"/>
        </w:rPr>
        <w:t>s</w:t>
      </w:r>
      <w:r w:rsidRPr="00A44788">
        <w:rPr>
          <w:rFonts w:ascii="Arial Narrow" w:hAnsi="Arial Narrow" w:cs="Arial"/>
          <w:color w:val="7F7F7F" w:themeColor="text1" w:themeTint="80"/>
          <w:sz w:val="27"/>
          <w:szCs w:val="27"/>
        </w:rPr>
        <w:t>iendo el caso, que no aportó la orden de valuación al sumario, ni las constancias de la</w:t>
      </w:r>
      <w:r w:rsidR="007922E5" w:rsidRPr="00A44788">
        <w:rPr>
          <w:rFonts w:ascii="Arial Narrow" w:hAnsi="Arial Narrow" w:cs="Arial"/>
          <w:color w:val="7F7F7F" w:themeColor="text1" w:themeTint="80"/>
          <w:sz w:val="27"/>
          <w:szCs w:val="27"/>
        </w:rPr>
        <w:t xml:space="preserve"> visita física al inmueble, ni la notificación de los resultado</w:t>
      </w:r>
      <w:r w:rsidRPr="00A44788">
        <w:rPr>
          <w:rFonts w:ascii="Arial Narrow" w:hAnsi="Arial Narrow" w:cs="Arial"/>
          <w:color w:val="7F7F7F" w:themeColor="text1" w:themeTint="80"/>
          <w:sz w:val="27"/>
          <w:szCs w:val="27"/>
        </w:rPr>
        <w:t xml:space="preserve">s </w:t>
      </w:r>
      <w:r w:rsidR="007922E5" w:rsidRPr="00A44788">
        <w:rPr>
          <w:rFonts w:ascii="Arial Narrow" w:hAnsi="Arial Narrow" w:cs="Arial"/>
          <w:color w:val="7F7F7F" w:themeColor="text1" w:themeTint="80"/>
          <w:sz w:val="27"/>
          <w:szCs w:val="27"/>
        </w:rPr>
        <w:t>del avalúo</w:t>
      </w:r>
      <w:r w:rsidRPr="00A44788">
        <w:rPr>
          <w:rFonts w:ascii="Arial Narrow" w:hAnsi="Arial Narrow" w:cs="Arial"/>
          <w:color w:val="7F7F7F" w:themeColor="text1" w:themeTint="80"/>
          <w:sz w:val="27"/>
          <w:szCs w:val="27"/>
        </w:rPr>
        <w:t xml:space="preserve">, por lo que es el caso que no se desvirtúa </w:t>
      </w:r>
      <w:r w:rsidRPr="00A44788">
        <w:rPr>
          <w:rFonts w:ascii="Arial Narrow" w:hAnsi="Arial Narrow"/>
          <w:color w:val="7F7F7F" w:themeColor="text1" w:themeTint="80"/>
          <w:sz w:val="27"/>
          <w:szCs w:val="27"/>
        </w:rPr>
        <w:t>esa</w:t>
      </w:r>
      <w:r w:rsidRPr="00A44788">
        <w:rPr>
          <w:rFonts w:ascii="Arial Narrow" w:hAnsi="Arial Narrow" w:cs="Arial"/>
          <w:color w:val="7F7F7F" w:themeColor="text1" w:themeTint="80"/>
          <w:sz w:val="27"/>
          <w:szCs w:val="27"/>
        </w:rPr>
        <w:t xml:space="preserve"> negativa</w:t>
      </w:r>
      <w:r w:rsidRPr="00A44788">
        <w:rPr>
          <w:rFonts w:ascii="Arial Narrow" w:hAnsi="Arial Narrow"/>
          <w:color w:val="7F7F7F" w:themeColor="text1" w:themeTint="80"/>
          <w:sz w:val="27"/>
          <w:szCs w:val="27"/>
        </w:rPr>
        <w:t xml:space="preserve"> y en consecuencia, es cierto que no existe ese mandamiento escrit</w:t>
      </w:r>
      <w:r w:rsidR="007922E5" w:rsidRPr="00A44788">
        <w:rPr>
          <w:rFonts w:ascii="Arial Narrow" w:hAnsi="Arial Narrow"/>
          <w:color w:val="7F7F7F" w:themeColor="text1" w:themeTint="80"/>
          <w:sz w:val="27"/>
          <w:szCs w:val="27"/>
        </w:rPr>
        <w:t>o, la visita al inmueble, ni la notificació</w:t>
      </w:r>
      <w:r w:rsidRPr="00A44788">
        <w:rPr>
          <w:rFonts w:ascii="Arial Narrow" w:hAnsi="Arial Narrow"/>
          <w:color w:val="7F7F7F" w:themeColor="text1" w:themeTint="80"/>
          <w:sz w:val="27"/>
          <w:szCs w:val="27"/>
        </w:rPr>
        <w:t>n</w:t>
      </w:r>
      <w:r w:rsidR="007922E5" w:rsidRPr="00A44788">
        <w:rPr>
          <w:rFonts w:ascii="Arial Narrow" w:hAnsi="Arial Narrow"/>
          <w:color w:val="7F7F7F" w:themeColor="text1" w:themeTint="80"/>
          <w:sz w:val="27"/>
          <w:szCs w:val="27"/>
        </w:rPr>
        <w:t xml:space="preserve"> d</w:t>
      </w:r>
      <w:r w:rsidRPr="00A44788">
        <w:rPr>
          <w:rFonts w:ascii="Arial Narrow" w:hAnsi="Arial Narrow"/>
          <w:color w:val="7F7F7F" w:themeColor="text1" w:themeTint="80"/>
          <w:sz w:val="27"/>
          <w:szCs w:val="27"/>
        </w:rPr>
        <w:t>e</w:t>
      </w:r>
      <w:r w:rsidR="007922E5" w:rsidRPr="00A44788">
        <w:rPr>
          <w:rFonts w:ascii="Arial Narrow" w:hAnsi="Arial Narrow"/>
          <w:color w:val="7F7F7F" w:themeColor="text1" w:themeTint="80"/>
          <w:sz w:val="27"/>
          <w:szCs w:val="27"/>
        </w:rPr>
        <w:t xml:space="preserve"> lo</w:t>
      </w:r>
      <w:r w:rsidRPr="00A44788">
        <w:rPr>
          <w:rFonts w:ascii="Arial Narrow" w:hAnsi="Arial Narrow"/>
          <w:color w:val="7F7F7F" w:themeColor="text1" w:themeTint="80"/>
          <w:sz w:val="27"/>
          <w:szCs w:val="27"/>
        </w:rPr>
        <w:t>s re</w:t>
      </w:r>
      <w:r w:rsidR="007922E5" w:rsidRPr="00A44788">
        <w:rPr>
          <w:rFonts w:ascii="Arial Narrow" w:hAnsi="Arial Narrow"/>
          <w:color w:val="7F7F7F" w:themeColor="text1" w:themeTint="80"/>
          <w:sz w:val="27"/>
          <w:szCs w:val="27"/>
        </w:rPr>
        <w:t>sultados del avalúo</w:t>
      </w:r>
      <w:r w:rsidRPr="00A44788">
        <w:rPr>
          <w:rFonts w:ascii="Arial Narrow" w:hAnsi="Arial Narrow"/>
          <w:color w:val="7F7F7F" w:themeColor="text1" w:themeTint="80"/>
          <w:sz w:val="27"/>
          <w:szCs w:val="27"/>
        </w:rPr>
        <w:t xml:space="preserve">. . . . . . . . . </w:t>
      </w:r>
    </w:p>
    <w:p w:rsidR="00D91DE7" w:rsidRPr="00A44788" w:rsidRDefault="00D91DE7" w:rsidP="00E05C75">
      <w:pPr>
        <w:tabs>
          <w:tab w:val="left" w:pos="1095"/>
        </w:tabs>
        <w:spacing w:line="360" w:lineRule="auto"/>
        <w:jc w:val="both"/>
        <w:rPr>
          <w:rFonts w:ascii="Arial Narrow" w:hAnsi="Arial Narrow" w:cs="Arial"/>
          <w:color w:val="7F7F7F" w:themeColor="text1" w:themeTint="80"/>
          <w:sz w:val="27"/>
          <w:szCs w:val="27"/>
        </w:rPr>
      </w:pPr>
    </w:p>
    <w:p w:rsidR="007A525F" w:rsidRPr="00A44788" w:rsidRDefault="00DB44ED" w:rsidP="00D91DE7">
      <w:pPr>
        <w:tabs>
          <w:tab w:val="left" w:pos="1095"/>
        </w:tabs>
        <w:spacing w:line="360" w:lineRule="auto"/>
        <w:ind w:firstLine="709"/>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 xml:space="preserve">De esta manera y abundando </w:t>
      </w:r>
      <w:r w:rsidRPr="00A44788">
        <w:rPr>
          <w:rFonts w:ascii="Arial Narrow" w:hAnsi="Arial Narrow"/>
          <w:color w:val="7F7F7F" w:themeColor="text1" w:themeTint="80"/>
          <w:sz w:val="27"/>
          <w:szCs w:val="27"/>
        </w:rPr>
        <w:t xml:space="preserve">en el razonamiento anterior, </w:t>
      </w:r>
      <w:r w:rsidRPr="00A44788">
        <w:rPr>
          <w:rFonts w:ascii="Arial Narrow" w:hAnsi="Arial Narrow" w:cs="Arial"/>
          <w:color w:val="7F7F7F" w:themeColor="text1" w:themeTint="80"/>
          <w:sz w:val="27"/>
          <w:szCs w:val="27"/>
        </w:rPr>
        <w:t xml:space="preserve">cabe precisar que el procedimiento de valuación genera derechos y obligaciones, por lo que la parte actora tiene el derecho de recibir los actos señalados en supralíneas; </w:t>
      </w:r>
      <w:r w:rsidRPr="00A44788">
        <w:rPr>
          <w:rFonts w:ascii="Arial Narrow" w:hAnsi="Arial Narrow"/>
          <w:color w:val="7F7F7F" w:themeColor="text1" w:themeTint="80"/>
          <w:sz w:val="27"/>
          <w:szCs w:val="27"/>
        </w:rPr>
        <w:t>así tenemos que</w:t>
      </w:r>
      <w:r w:rsidRPr="00A44788">
        <w:rPr>
          <w:rFonts w:ascii="Arial Narrow" w:hAnsi="Arial Narrow" w:cs="Arial"/>
          <w:color w:val="7F7F7F" w:themeColor="text1" w:themeTint="80"/>
          <w:sz w:val="27"/>
          <w:szCs w:val="27"/>
        </w:rPr>
        <w:t xml:space="preserve"> la base gravable del impuesto predial</w:t>
      </w:r>
      <w:r w:rsidR="00737238" w:rsidRPr="00A44788">
        <w:rPr>
          <w:rFonts w:ascii="Arial Narrow" w:hAnsi="Arial Narrow" w:cs="Arial"/>
          <w:color w:val="7F7F7F" w:themeColor="text1" w:themeTint="80"/>
          <w:sz w:val="27"/>
          <w:szCs w:val="27"/>
        </w:rPr>
        <w:t xml:space="preserve">, se </w:t>
      </w:r>
      <w:r w:rsidRPr="00A44788">
        <w:rPr>
          <w:rFonts w:ascii="Arial Narrow" w:hAnsi="Arial Narrow" w:cs="Arial"/>
          <w:color w:val="7F7F7F" w:themeColor="text1" w:themeTint="80"/>
          <w:sz w:val="27"/>
          <w:szCs w:val="27"/>
        </w:rPr>
        <w:t xml:space="preserve">constituye </w:t>
      </w:r>
      <w:r w:rsidR="00737238" w:rsidRPr="00A44788">
        <w:rPr>
          <w:rFonts w:ascii="Arial Narrow" w:hAnsi="Arial Narrow" w:cs="Arial"/>
          <w:color w:val="7F7F7F" w:themeColor="text1" w:themeTint="80"/>
          <w:sz w:val="27"/>
          <w:szCs w:val="27"/>
        </w:rPr>
        <w:t xml:space="preserve">con </w:t>
      </w:r>
      <w:r w:rsidRPr="00A44788">
        <w:rPr>
          <w:rFonts w:ascii="Arial Narrow" w:hAnsi="Arial Narrow" w:cs="Arial"/>
          <w:color w:val="7F7F7F" w:themeColor="text1" w:themeTint="80"/>
          <w:sz w:val="27"/>
          <w:szCs w:val="27"/>
        </w:rPr>
        <w:t>el valor fiscal del inmueble</w:t>
      </w:r>
      <w:r w:rsidR="00737238" w:rsidRPr="00A44788">
        <w:rPr>
          <w:rFonts w:ascii="Arial Narrow" w:hAnsi="Arial Narrow" w:cs="Arial"/>
          <w:color w:val="7F7F7F" w:themeColor="text1" w:themeTint="80"/>
          <w:sz w:val="27"/>
          <w:szCs w:val="27"/>
        </w:rPr>
        <w:t xml:space="preserve"> y</w:t>
      </w:r>
      <w:r w:rsidRPr="00A44788">
        <w:rPr>
          <w:rFonts w:ascii="Arial Narrow" w:hAnsi="Arial Narrow" w:cs="Arial"/>
          <w:color w:val="7F7F7F" w:themeColor="text1" w:themeTint="80"/>
          <w:sz w:val="27"/>
          <w:szCs w:val="27"/>
        </w:rPr>
        <w:t xml:space="preserve"> </w:t>
      </w:r>
      <w:r w:rsidR="00737238" w:rsidRPr="00A44788">
        <w:rPr>
          <w:rFonts w:ascii="Arial Narrow" w:hAnsi="Arial Narrow" w:cs="Arial"/>
          <w:color w:val="7F7F7F" w:themeColor="text1" w:themeTint="80"/>
          <w:sz w:val="27"/>
          <w:szCs w:val="27"/>
        </w:rPr>
        <w:t xml:space="preserve">el avalúo que lo arroja </w:t>
      </w:r>
      <w:r w:rsidRPr="00A44788">
        <w:rPr>
          <w:rFonts w:ascii="Arial Narrow" w:hAnsi="Arial Narrow" w:cs="Arial"/>
          <w:color w:val="7F7F7F" w:themeColor="text1" w:themeTint="80"/>
          <w:sz w:val="27"/>
          <w:szCs w:val="27"/>
        </w:rPr>
        <w:t>es un acto que debe estar prec</w:t>
      </w:r>
      <w:r w:rsidR="00737238" w:rsidRPr="00A44788">
        <w:rPr>
          <w:rFonts w:ascii="Arial Narrow" w:hAnsi="Arial Narrow" w:cs="Arial"/>
          <w:color w:val="7F7F7F" w:themeColor="text1" w:themeTint="80"/>
          <w:sz w:val="27"/>
          <w:szCs w:val="27"/>
        </w:rPr>
        <w:t>edido de una orden de valuación en</w:t>
      </w:r>
      <w:r w:rsidRPr="00A44788">
        <w:rPr>
          <w:rFonts w:ascii="Arial Narrow" w:hAnsi="Arial Narrow" w:cs="Arial"/>
          <w:color w:val="7F7F7F" w:themeColor="text1" w:themeTint="80"/>
          <w:sz w:val="27"/>
          <w:szCs w:val="27"/>
        </w:rPr>
        <w:t xml:space="preserve"> la</w:t>
      </w:r>
      <w:r w:rsidR="00737238" w:rsidRPr="00A44788">
        <w:rPr>
          <w:rFonts w:ascii="Arial Narrow" w:hAnsi="Arial Narrow" w:cs="Arial"/>
          <w:color w:val="7F7F7F" w:themeColor="text1" w:themeTint="80"/>
          <w:sz w:val="27"/>
          <w:szCs w:val="27"/>
        </w:rPr>
        <w:t xml:space="preserve"> que se haga la</w:t>
      </w:r>
      <w:r w:rsidRPr="00A44788">
        <w:rPr>
          <w:rFonts w:ascii="Arial Narrow" w:hAnsi="Arial Narrow" w:cs="Arial"/>
          <w:color w:val="7F7F7F" w:themeColor="text1" w:themeTint="80"/>
          <w:sz w:val="27"/>
          <w:szCs w:val="27"/>
        </w:rPr>
        <w:t xml:space="preserve"> designación del perito y de una visita física al inmueble materia de la valuación, pues constituyen las formalidades previstas en los artículos 176 y 177 de la citada Ley de Hacienda para los Municipios, en consecuencia, la ausencia de estos actos, origina la ile</w:t>
      </w:r>
      <w:r w:rsidR="00737238" w:rsidRPr="00A44788">
        <w:rPr>
          <w:rFonts w:ascii="Arial Narrow" w:hAnsi="Arial Narrow" w:cs="Arial"/>
          <w:color w:val="7F7F7F" w:themeColor="text1" w:themeTint="80"/>
          <w:sz w:val="27"/>
          <w:szCs w:val="27"/>
        </w:rPr>
        <w:t xml:space="preserve">galidad del impugnado </w:t>
      </w:r>
      <w:r w:rsidR="00737238" w:rsidRPr="00A44788">
        <w:rPr>
          <w:rFonts w:ascii="Arial Narrow" w:hAnsi="Arial Narrow" w:cs="Arial"/>
          <w:color w:val="7F7F7F" w:themeColor="text1" w:themeTint="80"/>
          <w:sz w:val="27"/>
          <w:szCs w:val="27"/>
        </w:rPr>
        <w:lastRenderedPageBreak/>
        <w:t>avalúo que fija e</w:t>
      </w:r>
      <w:r w:rsidRPr="00A44788">
        <w:rPr>
          <w:rFonts w:ascii="Arial Narrow" w:hAnsi="Arial Narrow" w:cs="Arial"/>
          <w:color w:val="7F7F7F" w:themeColor="text1" w:themeTint="80"/>
          <w:sz w:val="27"/>
          <w:szCs w:val="27"/>
        </w:rPr>
        <w:t>l</w:t>
      </w:r>
      <w:r w:rsidR="00737238" w:rsidRPr="00A44788">
        <w:rPr>
          <w:rFonts w:ascii="Arial Narrow" w:hAnsi="Arial Narrow" w:cs="Arial"/>
          <w:color w:val="7F7F7F" w:themeColor="text1" w:themeTint="80"/>
          <w:sz w:val="27"/>
          <w:szCs w:val="27"/>
        </w:rPr>
        <w:t xml:space="preserve"> nuevo valor fiscal </w:t>
      </w:r>
      <w:r w:rsidR="006A0C4E" w:rsidRPr="00A44788">
        <w:rPr>
          <w:rFonts w:ascii="Arial Narrow" w:hAnsi="Arial Narrow" w:cs="Arial"/>
          <w:color w:val="7F7F7F" w:themeColor="text1" w:themeTint="80"/>
          <w:sz w:val="27"/>
          <w:szCs w:val="27"/>
        </w:rPr>
        <w:t>que</w:t>
      </w:r>
      <w:r w:rsidR="00737238" w:rsidRPr="00A44788">
        <w:rPr>
          <w:rFonts w:ascii="Arial Narrow" w:hAnsi="Arial Narrow" w:cs="Arial"/>
          <w:color w:val="7F7F7F" w:themeColor="text1" w:themeTint="80"/>
          <w:sz w:val="27"/>
          <w:szCs w:val="27"/>
        </w:rPr>
        <w:t xml:space="preserve"> </w:t>
      </w:r>
      <w:r w:rsidR="006A0C4E" w:rsidRPr="00A44788">
        <w:rPr>
          <w:rFonts w:ascii="Arial Narrow" w:hAnsi="Arial Narrow" w:cs="Arial"/>
          <w:color w:val="7F7F7F" w:themeColor="text1" w:themeTint="80"/>
          <w:sz w:val="27"/>
          <w:szCs w:val="27"/>
        </w:rPr>
        <w:t>modifica</w:t>
      </w:r>
      <w:r w:rsidR="00737238" w:rsidRPr="00A44788">
        <w:rPr>
          <w:rFonts w:ascii="Arial Narrow" w:hAnsi="Arial Narrow" w:cs="Arial"/>
          <w:color w:val="7F7F7F" w:themeColor="text1" w:themeTint="80"/>
          <w:sz w:val="27"/>
          <w:szCs w:val="27"/>
        </w:rPr>
        <w:t xml:space="preserve"> </w:t>
      </w:r>
      <w:r w:rsidR="006A0C4E" w:rsidRPr="00A44788">
        <w:rPr>
          <w:rFonts w:ascii="Arial Narrow" w:hAnsi="Arial Narrow" w:cs="Arial"/>
          <w:color w:val="7F7F7F" w:themeColor="text1" w:themeTint="80"/>
          <w:sz w:val="27"/>
          <w:szCs w:val="27"/>
        </w:rPr>
        <w:t>l</w:t>
      </w:r>
      <w:r w:rsidRPr="00A44788">
        <w:rPr>
          <w:rFonts w:ascii="Arial Narrow" w:hAnsi="Arial Narrow" w:cs="Arial"/>
          <w:color w:val="7F7F7F" w:themeColor="text1" w:themeTint="80"/>
          <w:sz w:val="27"/>
          <w:szCs w:val="27"/>
        </w:rPr>
        <w:t>a base gravable; pues, el avalúo como acto fiscal no reúne el elemento de validez establecido en el artículo 137, fracción VIII, del Código de Procedimiento y Justicia Administrativa para el Estado y los Municipios de Guanajuato, elementos que deben satisfacer los actos administrativos, estos últimos entendidos en su acepción amplia, por ello, no existe impedimento para concluir que los actos emitidos por las autoridades fiscales quedan incluidos en los actos administrativos; de esta forma, de acuerdo a lo señalado por la fracción VIII del referido artículo 137, el Tesorero Municipal para emitir el avalúo que origina la modificación de la base gravable del impuesto predial del inmueble que nos ocupa, esta constreñido a satisfacer las formalidades del procedimiento de valuación establecidas en los artículos 176 y 177 de la pluricitada Ley de Hacienda para los Municipios, formulismos que se incumplieron por parte del Tesorero Municipal, al haber omitido la emisión de la orden de valuación y al no ordenar la diligencia de la visita física al inmueble, por consiguiente, estos vicios del procedimiento de valuación también traen consigo la ilegalidad de</w:t>
      </w:r>
      <w:r w:rsidR="00495181" w:rsidRPr="00A44788">
        <w:rPr>
          <w:rFonts w:ascii="Arial Narrow" w:hAnsi="Arial Narrow" w:cs="Arial"/>
          <w:color w:val="7F7F7F" w:themeColor="text1" w:themeTint="80"/>
          <w:sz w:val="27"/>
          <w:szCs w:val="27"/>
        </w:rPr>
        <w:t xml:space="preserve">l </w:t>
      </w:r>
      <w:r w:rsidR="007A525F" w:rsidRPr="00A44788">
        <w:rPr>
          <w:rFonts w:ascii="Arial Narrow" w:hAnsi="Arial Narrow" w:cs="Arial"/>
          <w:color w:val="7F7F7F" w:themeColor="text1" w:themeTint="80"/>
          <w:sz w:val="27"/>
          <w:szCs w:val="27"/>
        </w:rPr>
        <w:t>avalúo impugnado y de todos su actos consecuentes,</w:t>
      </w:r>
      <w:r w:rsidRPr="00A44788">
        <w:rPr>
          <w:rFonts w:ascii="Arial Narrow" w:hAnsi="Arial Narrow" w:cs="Arial"/>
          <w:color w:val="7F7F7F" w:themeColor="text1" w:themeTint="80"/>
          <w:sz w:val="27"/>
          <w:szCs w:val="27"/>
        </w:rPr>
        <w:t xml:space="preserve"> en virtud de que proce</w:t>
      </w:r>
      <w:r w:rsidR="007A525F" w:rsidRPr="00A44788">
        <w:rPr>
          <w:rFonts w:ascii="Arial Narrow" w:hAnsi="Arial Narrow" w:cs="Arial"/>
          <w:color w:val="7F7F7F" w:themeColor="text1" w:themeTint="80"/>
          <w:sz w:val="27"/>
          <w:szCs w:val="27"/>
        </w:rPr>
        <w:t xml:space="preserve">de de un acto viciado de origen. . . . . . . . . . . . . . . . . . . . . . . . . . . . . . . . . . . . . . . . . . . . . . . . . . . . . . </w:t>
      </w:r>
    </w:p>
    <w:p w:rsidR="00DB44ED" w:rsidRPr="00A44788" w:rsidRDefault="00DB44ED" w:rsidP="00D91DE7">
      <w:pPr>
        <w:spacing w:line="360" w:lineRule="auto"/>
        <w:jc w:val="both"/>
        <w:rPr>
          <w:rFonts w:ascii="Arial Narrow" w:hAnsi="Arial Narrow" w:cs="Arial"/>
          <w:color w:val="7F7F7F" w:themeColor="text1" w:themeTint="80"/>
          <w:sz w:val="27"/>
          <w:szCs w:val="27"/>
        </w:rPr>
      </w:pPr>
    </w:p>
    <w:p w:rsidR="007A525F" w:rsidRPr="00A44788" w:rsidRDefault="00DB44ED" w:rsidP="00D91DE7">
      <w:pPr>
        <w:tabs>
          <w:tab w:val="left" w:pos="1485"/>
        </w:tabs>
        <w:spacing w:line="360" w:lineRule="auto"/>
        <w:ind w:firstLine="709"/>
        <w:jc w:val="both"/>
        <w:rPr>
          <w:rFonts w:ascii="Arial Narrow" w:hAnsi="Arial Narrow"/>
          <w:color w:val="7F7F7F" w:themeColor="text1" w:themeTint="80"/>
          <w:sz w:val="27"/>
          <w:szCs w:val="27"/>
        </w:rPr>
      </w:pPr>
      <w:r w:rsidRPr="00A44788">
        <w:rPr>
          <w:rFonts w:ascii="Arial Narrow" w:hAnsi="Arial Narrow" w:cs="Arial"/>
          <w:color w:val="7F7F7F" w:themeColor="text1" w:themeTint="80"/>
          <w:sz w:val="27"/>
          <w:szCs w:val="27"/>
        </w:rPr>
        <w:t>Bajo esta tesitura, con la emisión de los actos fiscales combatidos, se violan en perjuicio de la parte actora los derechos protegidos por los artículos 4 de la Ley Orgánica Municipal para el Estado de Guanajuato en vigor; y, 176 y 177 de la Ley de Hacienda para los Municipios del Estado de Guanajuato; por ende, es el caso que se actualiza la causal de ilegalidad prevista en la fracción III del artículo 302 del Código de Procedimiento y Justicia Administrativa para el Estado y los Municipios de Guanajuato y se afecta de manera directa e inmediata la esfera jurídica de la justiciable, por lo que con fundamento en lo establecido en el artículo 300, fracción II, del mismo Código, es de decretarse la nulidad</w:t>
      </w:r>
      <w:r w:rsidRPr="00A44788">
        <w:rPr>
          <w:rFonts w:ascii="Arial Narrow" w:hAnsi="Arial Narrow" w:cs="Arial"/>
          <w:b/>
          <w:color w:val="7F7F7F" w:themeColor="text1" w:themeTint="80"/>
          <w:sz w:val="27"/>
          <w:szCs w:val="27"/>
        </w:rPr>
        <w:t xml:space="preserve"> </w:t>
      </w:r>
      <w:r w:rsidR="00D63409" w:rsidRPr="00A44788">
        <w:rPr>
          <w:rFonts w:ascii="Arial Narrow" w:hAnsi="Arial Narrow" w:cs="Arial"/>
          <w:color w:val="7F7F7F" w:themeColor="text1" w:themeTint="80"/>
          <w:sz w:val="27"/>
          <w:szCs w:val="27"/>
        </w:rPr>
        <w:t xml:space="preserve">total </w:t>
      </w:r>
      <w:r w:rsidRPr="00A44788">
        <w:rPr>
          <w:rFonts w:ascii="Arial Narrow" w:hAnsi="Arial Narrow" w:cs="Arial"/>
          <w:color w:val="7F7F7F" w:themeColor="text1" w:themeTint="80"/>
          <w:sz w:val="27"/>
          <w:szCs w:val="27"/>
        </w:rPr>
        <w:t xml:space="preserve">del avalúo que fija el valor fiscal </w:t>
      </w:r>
      <w:r w:rsidR="00B0764F" w:rsidRPr="00A44788">
        <w:rPr>
          <w:rFonts w:ascii="Arial Narrow" w:hAnsi="Arial Narrow" w:cs="Arial"/>
          <w:color w:val="7F7F7F" w:themeColor="text1" w:themeTint="80"/>
          <w:sz w:val="27"/>
          <w:szCs w:val="27"/>
        </w:rPr>
        <w:t>…</w:t>
      </w:r>
      <w:r w:rsidR="007D645C" w:rsidRPr="00A44788">
        <w:rPr>
          <w:rFonts w:ascii="Arial Narrow" w:hAnsi="Arial Narrow" w:cs="Arial"/>
          <w:color w:val="7F7F7F" w:themeColor="text1" w:themeTint="80"/>
          <w:sz w:val="27"/>
          <w:szCs w:val="27"/>
        </w:rPr>
        <w:t xml:space="preserve">, </w:t>
      </w:r>
      <w:r w:rsidRPr="00A44788">
        <w:rPr>
          <w:rFonts w:ascii="Arial Narrow" w:hAnsi="Arial Narrow" w:cs="Arial"/>
          <w:color w:val="7F7F7F" w:themeColor="text1" w:themeTint="80"/>
          <w:sz w:val="27"/>
          <w:szCs w:val="27"/>
        </w:rPr>
        <w:t xml:space="preserve">del inmueble </w:t>
      </w:r>
      <w:r w:rsidR="00B0764F" w:rsidRPr="00A44788">
        <w:rPr>
          <w:rFonts w:ascii="Arial Narrow" w:hAnsi="Arial Narrow"/>
          <w:color w:val="7F7F7F" w:themeColor="text1" w:themeTint="80"/>
          <w:sz w:val="27"/>
          <w:szCs w:val="27"/>
        </w:rPr>
        <w:t>…</w:t>
      </w:r>
      <w:r w:rsidR="006A0C4E" w:rsidRPr="00A44788">
        <w:rPr>
          <w:rFonts w:ascii="Arial Narrow" w:hAnsi="Arial Narrow"/>
          <w:color w:val="7F7F7F" w:themeColor="text1" w:themeTint="80"/>
          <w:sz w:val="27"/>
          <w:szCs w:val="27"/>
        </w:rPr>
        <w:t>, registrado bajo la</w:t>
      </w:r>
      <w:r w:rsidRPr="00A44788">
        <w:rPr>
          <w:rFonts w:ascii="Arial Narrow" w:hAnsi="Arial Narrow"/>
          <w:color w:val="7F7F7F" w:themeColor="text1" w:themeTint="80"/>
          <w:sz w:val="27"/>
          <w:szCs w:val="27"/>
        </w:rPr>
        <w:t xml:space="preserve"> cuenta predial </w:t>
      </w:r>
      <w:r w:rsidR="00B0764F" w:rsidRPr="00A44788">
        <w:rPr>
          <w:rFonts w:ascii="Arial Narrow" w:hAnsi="Arial Narrow"/>
          <w:color w:val="7F7F7F" w:themeColor="text1" w:themeTint="80"/>
          <w:sz w:val="27"/>
          <w:szCs w:val="27"/>
        </w:rPr>
        <w:t>…</w:t>
      </w:r>
      <w:r w:rsidRPr="00A44788">
        <w:rPr>
          <w:rFonts w:ascii="Arial Narrow" w:hAnsi="Arial Narrow" w:cs="Arial"/>
          <w:color w:val="7F7F7F" w:themeColor="text1" w:themeTint="80"/>
          <w:sz w:val="27"/>
          <w:szCs w:val="27"/>
        </w:rPr>
        <w:t xml:space="preserve"> y de sus actos consecuentes como lo son, entre otros, </w:t>
      </w:r>
      <w:r w:rsidR="007A525F" w:rsidRPr="00A44788">
        <w:rPr>
          <w:rFonts w:ascii="Arial Narrow" w:hAnsi="Arial Narrow" w:cs="Arial"/>
          <w:color w:val="7F7F7F" w:themeColor="text1" w:themeTint="80"/>
          <w:sz w:val="27"/>
          <w:szCs w:val="27"/>
        </w:rPr>
        <w:t xml:space="preserve">Crédito Fiscal fijado </w:t>
      </w:r>
      <w:r w:rsidR="00B0764F" w:rsidRPr="00A44788">
        <w:rPr>
          <w:rFonts w:ascii="Arial Narrow" w:hAnsi="Arial Narrow" w:cs="Arial"/>
          <w:color w:val="7F7F7F" w:themeColor="text1" w:themeTint="80"/>
          <w:sz w:val="27"/>
          <w:szCs w:val="27"/>
        </w:rPr>
        <w:t>…</w:t>
      </w:r>
      <w:r w:rsidR="007A525F" w:rsidRPr="00A44788">
        <w:rPr>
          <w:rFonts w:ascii="Arial Narrow" w:hAnsi="Arial Narrow" w:cs="Arial"/>
          <w:color w:val="7F7F7F" w:themeColor="text1" w:themeTint="80"/>
          <w:sz w:val="27"/>
          <w:szCs w:val="27"/>
        </w:rPr>
        <w:t xml:space="preserve">, a cargo del impetrante, por concepto de impuesto predial del periodo de </w:t>
      </w:r>
      <w:r w:rsidR="00953342" w:rsidRPr="00A44788">
        <w:rPr>
          <w:rFonts w:ascii="Arial Narrow" w:hAnsi="Arial Narrow" w:cs="Arial"/>
          <w:color w:val="7F7F7F" w:themeColor="text1" w:themeTint="80"/>
          <w:sz w:val="27"/>
          <w:szCs w:val="27"/>
        </w:rPr>
        <w:t>enero a diciembre</w:t>
      </w:r>
      <w:r w:rsidR="007A525F" w:rsidRPr="00A44788">
        <w:rPr>
          <w:rFonts w:ascii="Arial Narrow" w:hAnsi="Arial Narrow" w:cs="Arial"/>
          <w:color w:val="7F7F7F" w:themeColor="text1" w:themeTint="80"/>
          <w:sz w:val="27"/>
          <w:szCs w:val="27"/>
        </w:rPr>
        <w:t xml:space="preserve"> del 2015 dos mil quince y por honorarios de avalúo, según consta en el </w:t>
      </w:r>
      <w:r w:rsidR="007A525F" w:rsidRPr="00A44788">
        <w:rPr>
          <w:rFonts w:ascii="Arial Narrow" w:hAnsi="Arial Narrow" w:cs="Arial"/>
          <w:i/>
          <w:color w:val="7F7F7F" w:themeColor="text1" w:themeTint="80"/>
          <w:sz w:val="27"/>
          <w:szCs w:val="27"/>
        </w:rPr>
        <w:t>“Estado de Cuenta Predial”</w:t>
      </w:r>
      <w:r w:rsidR="007A525F" w:rsidRPr="00A44788">
        <w:rPr>
          <w:rFonts w:ascii="Arial Narrow" w:hAnsi="Arial Narrow" w:cs="Arial"/>
          <w:color w:val="7F7F7F" w:themeColor="text1" w:themeTint="80"/>
          <w:sz w:val="27"/>
          <w:szCs w:val="27"/>
        </w:rPr>
        <w:t>, de fecha 16 dieciséis de febrero del año 2015 dos mil quince</w:t>
      </w:r>
      <w:r w:rsidRPr="00A44788">
        <w:rPr>
          <w:rFonts w:ascii="Arial Narrow" w:hAnsi="Arial Narrow" w:cs="Arial"/>
          <w:color w:val="7F7F7F" w:themeColor="text1" w:themeTint="80"/>
          <w:sz w:val="27"/>
          <w:szCs w:val="27"/>
        </w:rPr>
        <w:t>.</w:t>
      </w:r>
      <w:r w:rsidRPr="00A44788">
        <w:rPr>
          <w:rFonts w:ascii="Arial Narrow" w:hAnsi="Arial Narrow"/>
          <w:color w:val="7F7F7F" w:themeColor="text1" w:themeTint="80"/>
          <w:sz w:val="27"/>
          <w:szCs w:val="27"/>
        </w:rPr>
        <w:t xml:space="preserve"> . . . . </w:t>
      </w:r>
    </w:p>
    <w:p w:rsidR="00A42C33" w:rsidRPr="00A44788" w:rsidRDefault="007A525F"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lastRenderedPageBreak/>
        <w:t>Po último, en cuanto a</w:t>
      </w:r>
      <w:r w:rsidR="0093765F" w:rsidRPr="00A44788">
        <w:rPr>
          <w:rFonts w:ascii="Arial Narrow" w:hAnsi="Arial Narrow" w:cs="Arial"/>
          <w:color w:val="7F7F7F" w:themeColor="text1" w:themeTint="80"/>
          <w:sz w:val="27"/>
          <w:szCs w:val="27"/>
        </w:rPr>
        <w:t xml:space="preserve">l </w:t>
      </w:r>
      <w:r w:rsidR="00DB44ED" w:rsidRPr="00A44788">
        <w:rPr>
          <w:rFonts w:ascii="Arial Narrow" w:hAnsi="Arial Narrow" w:cs="Arial"/>
          <w:color w:val="7F7F7F" w:themeColor="text1" w:themeTint="80"/>
          <w:sz w:val="27"/>
          <w:szCs w:val="27"/>
        </w:rPr>
        <w:t xml:space="preserve">reconocimiento de un derecho amparado por una norma jurídica, </w:t>
      </w:r>
      <w:r w:rsidRPr="00A44788">
        <w:rPr>
          <w:rFonts w:ascii="Arial Narrow" w:hAnsi="Arial Narrow" w:cs="Arial"/>
          <w:color w:val="7F7F7F" w:themeColor="text1" w:themeTint="80"/>
          <w:sz w:val="27"/>
          <w:szCs w:val="27"/>
        </w:rPr>
        <w:t xml:space="preserve">que solicita la parte actora </w:t>
      </w:r>
      <w:r w:rsidR="00DB44ED" w:rsidRPr="00A44788">
        <w:rPr>
          <w:rFonts w:ascii="Arial Narrow" w:hAnsi="Arial Narrow" w:cs="Arial"/>
          <w:color w:val="7F7F7F" w:themeColor="text1" w:themeTint="80"/>
          <w:sz w:val="27"/>
          <w:szCs w:val="27"/>
        </w:rPr>
        <w:t>en el sentido de que se determine y liquide el impuesto predial para el ejercicio fiscal</w:t>
      </w:r>
      <w:r w:rsidR="0093765F" w:rsidRPr="00A44788">
        <w:rPr>
          <w:rFonts w:ascii="Arial Narrow" w:hAnsi="Arial Narrow" w:cs="Arial"/>
          <w:color w:val="7F7F7F" w:themeColor="text1" w:themeTint="80"/>
          <w:sz w:val="27"/>
          <w:szCs w:val="27"/>
        </w:rPr>
        <w:t xml:space="preserve">, conforme se venía pagando antes de la realización del </w:t>
      </w:r>
      <w:r w:rsidRPr="00A44788">
        <w:rPr>
          <w:rFonts w:ascii="Arial Narrow" w:hAnsi="Arial Narrow" w:cs="Arial"/>
          <w:color w:val="7F7F7F" w:themeColor="text1" w:themeTint="80"/>
          <w:sz w:val="27"/>
          <w:szCs w:val="27"/>
        </w:rPr>
        <w:t>avalúo impugnado,</w:t>
      </w:r>
      <w:r w:rsidR="0093765F" w:rsidRPr="00A44788">
        <w:rPr>
          <w:rFonts w:ascii="Arial Narrow" w:hAnsi="Arial Narrow" w:cs="Arial"/>
          <w:color w:val="7F7F7F" w:themeColor="text1" w:themeTint="80"/>
          <w:sz w:val="27"/>
          <w:szCs w:val="27"/>
        </w:rPr>
        <w:t xml:space="preserve"> resulta</w:t>
      </w:r>
      <w:r w:rsidR="00DB44ED" w:rsidRPr="00A44788">
        <w:rPr>
          <w:rFonts w:ascii="Arial Narrow" w:hAnsi="Arial Narrow" w:cs="Arial"/>
          <w:color w:val="7F7F7F" w:themeColor="text1" w:themeTint="80"/>
          <w:sz w:val="27"/>
          <w:szCs w:val="27"/>
        </w:rPr>
        <w:t xml:space="preserve"> procedente</w:t>
      </w:r>
      <w:r w:rsidRPr="00A44788">
        <w:rPr>
          <w:rFonts w:ascii="Arial Narrow" w:hAnsi="Arial Narrow" w:cs="Arial"/>
          <w:color w:val="7F7F7F" w:themeColor="text1" w:themeTint="80"/>
          <w:sz w:val="27"/>
          <w:szCs w:val="27"/>
        </w:rPr>
        <w:t xml:space="preserve"> su pretensión</w:t>
      </w:r>
      <w:r w:rsidR="00DB44ED" w:rsidRPr="00A44788">
        <w:rPr>
          <w:rFonts w:ascii="Arial Narrow" w:hAnsi="Arial Narrow" w:cs="Arial"/>
          <w:color w:val="7F7F7F" w:themeColor="text1" w:themeTint="80"/>
          <w:sz w:val="27"/>
          <w:szCs w:val="27"/>
        </w:rPr>
        <w:t>, en</w:t>
      </w:r>
      <w:r w:rsidR="00A42C33" w:rsidRPr="00A44788">
        <w:rPr>
          <w:rFonts w:ascii="Arial Narrow" w:hAnsi="Arial Narrow" w:cs="Arial"/>
          <w:color w:val="7F7F7F" w:themeColor="text1" w:themeTint="80"/>
          <w:sz w:val="27"/>
          <w:szCs w:val="27"/>
        </w:rPr>
        <w:t xml:space="preserve"> razón de que a</w:t>
      </w:r>
      <w:r w:rsidR="00DB44ED" w:rsidRPr="00A44788">
        <w:rPr>
          <w:rFonts w:ascii="Arial Narrow" w:hAnsi="Arial Narrow" w:cs="Arial"/>
          <w:color w:val="7F7F7F" w:themeColor="text1" w:themeTint="80"/>
          <w:sz w:val="27"/>
          <w:szCs w:val="27"/>
        </w:rPr>
        <w:t xml:space="preserve">nte la declaración de nulidad de los actos impugnados y estimando que de acuerdo a lo señalado por el artículo 143, párrafo segundo, del Código de Procedimiento y Justicia Administrativa para el Estado y los Municipios de Guanajuato, esa declaración de nulidad produce efectos retroactivos, esto es, vuelve las cosas al estado en que se encontraban antes de la violación, </w:t>
      </w:r>
      <w:r w:rsidRPr="00A44788">
        <w:rPr>
          <w:rFonts w:ascii="Arial Narrow" w:hAnsi="Arial Narrow"/>
          <w:color w:val="7F7F7F" w:themeColor="text1" w:themeTint="80"/>
          <w:sz w:val="27"/>
          <w:szCs w:val="27"/>
        </w:rPr>
        <w:t>de es</w:t>
      </w:r>
      <w:r w:rsidR="00DB44ED" w:rsidRPr="00A44788">
        <w:rPr>
          <w:rFonts w:ascii="Arial Narrow" w:hAnsi="Arial Narrow"/>
          <w:color w:val="7F7F7F" w:themeColor="text1" w:themeTint="80"/>
          <w:sz w:val="27"/>
          <w:szCs w:val="27"/>
        </w:rPr>
        <w:t xml:space="preserve">a manera, </w:t>
      </w:r>
      <w:r w:rsidRPr="00A44788">
        <w:rPr>
          <w:rFonts w:ascii="Arial Narrow" w:hAnsi="Arial Narrow" w:cs="Arial"/>
          <w:color w:val="7F7F7F" w:themeColor="text1" w:themeTint="80"/>
          <w:sz w:val="27"/>
          <w:szCs w:val="27"/>
        </w:rPr>
        <w:t xml:space="preserve">en este </w:t>
      </w:r>
      <w:r w:rsidR="00DB44ED" w:rsidRPr="00A44788">
        <w:rPr>
          <w:rFonts w:ascii="Arial Narrow" w:hAnsi="Arial Narrow" w:cs="Arial"/>
          <w:color w:val="7F7F7F" w:themeColor="text1" w:themeTint="80"/>
          <w:sz w:val="27"/>
          <w:szCs w:val="27"/>
        </w:rPr>
        <w:t xml:space="preserve"> proceso el Juzgador se encuentra constreñido a restituir al actor en el pleno goce de sus derechos vulnerados con la emisión de los actos impugnados, </w:t>
      </w:r>
      <w:r w:rsidR="00DB44ED" w:rsidRPr="00A44788">
        <w:rPr>
          <w:rFonts w:ascii="Arial Narrow" w:hAnsi="Arial Narrow"/>
          <w:color w:val="7F7F7F" w:themeColor="text1" w:themeTint="80"/>
          <w:sz w:val="27"/>
          <w:szCs w:val="27"/>
        </w:rPr>
        <w:t>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DB44ED" w:rsidRPr="00A44788">
        <w:rPr>
          <w:rFonts w:ascii="Arial Narrow" w:hAnsi="Arial Narrow" w:cs="Arial"/>
          <w:color w:val="7F7F7F" w:themeColor="text1" w:themeTint="80"/>
          <w:sz w:val="27"/>
          <w:szCs w:val="27"/>
        </w:rPr>
        <w:t xml:space="preserve">; en </w:t>
      </w:r>
      <w:r w:rsidRPr="00A44788">
        <w:rPr>
          <w:rFonts w:ascii="Arial Narrow" w:hAnsi="Arial Narrow" w:cs="Arial"/>
          <w:color w:val="7F7F7F" w:themeColor="text1" w:themeTint="80"/>
          <w:sz w:val="27"/>
          <w:szCs w:val="27"/>
        </w:rPr>
        <w:t>tal virtud,</w:t>
      </w:r>
      <w:r w:rsidR="00DB44ED" w:rsidRPr="00A44788">
        <w:rPr>
          <w:rFonts w:ascii="Arial Narrow" w:hAnsi="Arial Narrow" w:cs="Arial"/>
          <w:color w:val="7F7F7F" w:themeColor="text1" w:themeTint="80"/>
          <w:sz w:val="27"/>
          <w:szCs w:val="27"/>
        </w:rPr>
        <w:t xml:space="preserve"> se reconoce al actor el derecho amparado por el p</w:t>
      </w:r>
      <w:r w:rsidR="00A42C33" w:rsidRPr="00A44788">
        <w:rPr>
          <w:rFonts w:ascii="Arial Narrow" w:hAnsi="Arial Narrow" w:cs="Arial"/>
          <w:color w:val="7F7F7F" w:themeColor="text1" w:themeTint="80"/>
          <w:sz w:val="27"/>
          <w:szCs w:val="27"/>
        </w:rPr>
        <w:t>árrafo tercero del artículo 168</w:t>
      </w:r>
      <w:r w:rsidR="00DB44ED" w:rsidRPr="00A44788">
        <w:rPr>
          <w:rFonts w:ascii="Arial Narrow" w:hAnsi="Arial Narrow" w:cs="Arial"/>
          <w:color w:val="7F7F7F" w:themeColor="text1" w:themeTint="80"/>
          <w:sz w:val="27"/>
          <w:szCs w:val="27"/>
        </w:rPr>
        <w:t xml:space="preserve"> de la Ley de Hacienda para los Municipios del Estado de Guanajuato, el que consiste, que en tanto se practica el nuevo avalúo que actualizará el valor fiscal del inmueble que nos ocupa, la base del impuesto predial seguirá siendo el valor fiscal fijado en el avalúo anterior, por tanto, al declararse la nulidad </w:t>
      </w:r>
      <w:r w:rsidR="00A42C33" w:rsidRPr="00A44788">
        <w:rPr>
          <w:rFonts w:ascii="Arial Narrow" w:hAnsi="Arial Narrow" w:cs="Arial"/>
          <w:color w:val="7F7F7F" w:themeColor="text1" w:themeTint="80"/>
          <w:sz w:val="27"/>
          <w:szCs w:val="27"/>
        </w:rPr>
        <w:t>d</w:t>
      </w:r>
      <w:r w:rsidR="00DB44ED" w:rsidRPr="00A44788">
        <w:rPr>
          <w:rFonts w:ascii="Arial Narrow" w:hAnsi="Arial Narrow" w:cs="Arial"/>
          <w:color w:val="7F7F7F" w:themeColor="text1" w:themeTint="80"/>
          <w:sz w:val="27"/>
          <w:szCs w:val="27"/>
        </w:rPr>
        <w:t>el avalúo</w:t>
      </w:r>
      <w:r w:rsidR="00A42C33" w:rsidRPr="00A44788">
        <w:rPr>
          <w:rFonts w:ascii="Arial Narrow" w:hAnsi="Arial Narrow" w:cs="Arial"/>
          <w:color w:val="7F7F7F" w:themeColor="text1" w:themeTint="80"/>
          <w:sz w:val="27"/>
          <w:szCs w:val="27"/>
        </w:rPr>
        <w:t xml:space="preserve"> que fija el valor que constituye la base gravable del impuesto predial</w:t>
      </w:r>
      <w:r w:rsidR="00DB44ED" w:rsidRPr="00A44788">
        <w:rPr>
          <w:rFonts w:ascii="Arial Narrow" w:hAnsi="Arial Narrow" w:cs="Arial"/>
          <w:color w:val="7F7F7F" w:themeColor="text1" w:themeTint="80"/>
          <w:sz w:val="27"/>
          <w:szCs w:val="27"/>
        </w:rPr>
        <w:t xml:space="preserve">, </w:t>
      </w:r>
      <w:r w:rsidR="00A42C33" w:rsidRPr="00A44788">
        <w:rPr>
          <w:rFonts w:ascii="Arial Narrow" w:hAnsi="Arial Narrow" w:cs="Arial"/>
          <w:color w:val="7F7F7F" w:themeColor="text1" w:themeTint="80"/>
          <w:sz w:val="27"/>
          <w:szCs w:val="27"/>
        </w:rPr>
        <w:t>luego entonces</w:t>
      </w:r>
      <w:r w:rsidR="00DB44ED" w:rsidRPr="00A44788">
        <w:rPr>
          <w:rFonts w:ascii="Arial Narrow" w:hAnsi="Arial Narrow" w:cs="Arial"/>
          <w:color w:val="7F7F7F" w:themeColor="text1" w:themeTint="80"/>
          <w:sz w:val="27"/>
          <w:szCs w:val="27"/>
        </w:rPr>
        <w:t>, lo apegado a derecho</w:t>
      </w:r>
      <w:r w:rsidR="00A42C33" w:rsidRPr="00A44788">
        <w:rPr>
          <w:rFonts w:ascii="Arial Narrow" w:hAnsi="Arial Narrow" w:cs="Arial"/>
          <w:color w:val="7F7F7F" w:themeColor="text1" w:themeTint="80"/>
          <w:sz w:val="27"/>
          <w:szCs w:val="27"/>
        </w:rPr>
        <w:t xml:space="preserve"> conforme al numeral</w:t>
      </w:r>
      <w:r w:rsidR="00DB44ED" w:rsidRPr="00A44788">
        <w:rPr>
          <w:rFonts w:ascii="Arial Narrow" w:hAnsi="Arial Narrow" w:cs="Arial"/>
          <w:color w:val="7F7F7F" w:themeColor="text1" w:themeTint="80"/>
          <w:sz w:val="27"/>
          <w:szCs w:val="27"/>
        </w:rPr>
        <w:t xml:space="preserve"> </w:t>
      </w:r>
      <w:r w:rsidR="00A42C33" w:rsidRPr="00A44788">
        <w:rPr>
          <w:rFonts w:ascii="Arial Narrow" w:hAnsi="Arial Narrow" w:cs="Arial"/>
          <w:color w:val="7F7F7F" w:themeColor="text1" w:themeTint="80"/>
          <w:sz w:val="27"/>
          <w:szCs w:val="27"/>
        </w:rPr>
        <w:t xml:space="preserve">en comento, </w:t>
      </w:r>
      <w:r w:rsidR="00DB44ED" w:rsidRPr="00A44788">
        <w:rPr>
          <w:rFonts w:ascii="Arial Narrow" w:hAnsi="Arial Narrow" w:cs="Arial"/>
          <w:color w:val="7F7F7F" w:themeColor="text1" w:themeTint="80"/>
          <w:sz w:val="27"/>
          <w:szCs w:val="27"/>
        </w:rPr>
        <w:t>es que en el caso de que la autoridad fiscal competente proceda a determinar y liquidar el impuesto predial por los periodos ya sean anuales o bimestrales que se deban pagar, de manera debidamente fundada y motivada, aplicando como base del impuesto predial el valor fiscal anterior al im</w:t>
      </w:r>
      <w:r w:rsidR="00A42C33" w:rsidRPr="00A44788">
        <w:rPr>
          <w:rFonts w:ascii="Arial Narrow" w:hAnsi="Arial Narrow" w:cs="Arial"/>
          <w:color w:val="7F7F7F" w:themeColor="text1" w:themeTint="80"/>
          <w:sz w:val="27"/>
          <w:szCs w:val="27"/>
        </w:rPr>
        <w:t xml:space="preserve">pugnado en este proceso. . . . </w:t>
      </w:r>
      <w:r w:rsidR="00DB44ED" w:rsidRPr="00A44788">
        <w:rPr>
          <w:rFonts w:ascii="Arial Narrow" w:hAnsi="Arial Narrow" w:cs="Arial"/>
          <w:color w:val="7F7F7F" w:themeColor="text1" w:themeTint="80"/>
          <w:sz w:val="27"/>
          <w:szCs w:val="27"/>
        </w:rPr>
        <w:t xml:space="preserve">. . . . . </w:t>
      </w:r>
      <w:r w:rsidR="00A42C33" w:rsidRPr="00A44788">
        <w:rPr>
          <w:rFonts w:ascii="Arial Narrow" w:hAnsi="Arial Narrow" w:cs="Arial"/>
          <w:color w:val="7F7F7F" w:themeColor="text1" w:themeTint="80"/>
          <w:sz w:val="27"/>
          <w:szCs w:val="27"/>
        </w:rPr>
        <w:t xml:space="preserve">. . . . . . . . . . . . . . . .  . . . . . . . . . . . . . . . . . . . </w:t>
      </w:r>
    </w:p>
    <w:p w:rsidR="00D91DE7" w:rsidRPr="00A44788" w:rsidRDefault="00D91DE7" w:rsidP="00D91DE7">
      <w:pPr>
        <w:spacing w:line="360" w:lineRule="auto"/>
        <w:jc w:val="both"/>
        <w:rPr>
          <w:rFonts w:ascii="Arial Narrow" w:hAnsi="Arial Narrow"/>
          <w:b/>
          <w:color w:val="7F7F7F" w:themeColor="text1" w:themeTint="80"/>
          <w:sz w:val="27"/>
          <w:szCs w:val="27"/>
        </w:rPr>
      </w:pPr>
    </w:p>
    <w:p w:rsidR="00A42C33" w:rsidRPr="00A44788" w:rsidRDefault="00D91DE7"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b/>
          <w:color w:val="7F7F7F" w:themeColor="text1" w:themeTint="80"/>
          <w:sz w:val="27"/>
          <w:szCs w:val="27"/>
        </w:rPr>
        <w:t>SEXTO.-</w:t>
      </w:r>
      <w:r w:rsidRPr="00A44788">
        <w:rPr>
          <w:rFonts w:ascii="Arial Narrow" w:hAnsi="Arial Narrow"/>
          <w:color w:val="7F7F7F" w:themeColor="text1" w:themeTint="80"/>
          <w:sz w:val="27"/>
          <w:szCs w:val="27"/>
        </w:rPr>
        <w:t xml:space="preserve"> Que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estos en nada variaría el sentido de esta sentencia. </w:t>
      </w:r>
      <w:r w:rsidRPr="00A44788">
        <w:rPr>
          <w:rFonts w:ascii="Arial Narrow" w:hAnsi="Arial Narrow" w:cs="Arial"/>
          <w:color w:val="7F7F7F" w:themeColor="text1" w:themeTint="80"/>
          <w:sz w:val="27"/>
          <w:szCs w:val="27"/>
          <w:lang w:val="es-MX"/>
        </w:rPr>
        <w:t xml:space="preserve">Al respecto resulta </w:t>
      </w:r>
      <w:r w:rsidRPr="00A44788">
        <w:rPr>
          <w:rFonts w:ascii="Arial Narrow" w:hAnsi="Arial Narrow" w:cs="Arial"/>
          <w:color w:val="7F7F7F" w:themeColor="text1" w:themeTint="80"/>
          <w:sz w:val="27"/>
          <w:szCs w:val="27"/>
          <w:lang w:val="es-MX"/>
        </w:rPr>
        <w:lastRenderedPageBreak/>
        <w:t>ilustrativo como criterio orientador en sostenido en</w:t>
      </w:r>
      <w:r w:rsidRPr="00A44788">
        <w:rPr>
          <w:rFonts w:ascii="Arial Narrow" w:hAnsi="Arial Narrow"/>
          <w:color w:val="7F7F7F" w:themeColor="text1" w:themeTint="80"/>
          <w:sz w:val="27"/>
          <w:szCs w:val="27"/>
        </w:rPr>
        <w:t xml:space="preserve"> la tesis que a la letra dice: </w:t>
      </w:r>
      <w:r w:rsidRPr="00A44788">
        <w:rPr>
          <w:rFonts w:ascii="Arial Narrow" w:hAnsi="Arial Narrow"/>
          <w:i/>
          <w:color w:val="7F7F7F" w:themeColor="text1" w:themeTint="80"/>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44788">
        <w:rPr>
          <w:rFonts w:ascii="Arial Narrow" w:hAnsi="Arial Narrow"/>
          <w:color w:val="7F7F7F" w:themeColor="text1" w:themeTint="80"/>
          <w:sz w:val="27"/>
          <w:szCs w:val="27"/>
        </w:rPr>
        <w:t>Tercera Sala, Séptima época, Volumen 157-162. Cuarta Parte, visible a página 32. . . . . . . . . . . . . . . . .  . . . . . . . . . . . . . . . .</w:t>
      </w:r>
    </w:p>
    <w:p w:rsidR="00D91DE7" w:rsidRPr="00A44788" w:rsidRDefault="00D91DE7" w:rsidP="00D91DE7">
      <w:pPr>
        <w:spacing w:line="360" w:lineRule="auto"/>
        <w:jc w:val="both"/>
        <w:rPr>
          <w:rFonts w:ascii="Arial Narrow" w:hAnsi="Arial Narrow" w:cs="Arial"/>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 xml:space="preserve">Por lo expuesto y además con fundamento en los artículos </w:t>
      </w:r>
      <w:r w:rsidRPr="00A44788">
        <w:rPr>
          <w:rFonts w:ascii="Arial Narrow" w:hAnsi="Arial Narrow" w:cs="Arial"/>
          <w:bCs/>
          <w:color w:val="7F7F7F" w:themeColor="text1" w:themeTint="80"/>
          <w:sz w:val="27"/>
          <w:szCs w:val="27"/>
        </w:rPr>
        <w:t>243</w:t>
      </w:r>
      <w:r w:rsidRPr="00A44788">
        <w:rPr>
          <w:rFonts w:ascii="Arial Narrow" w:hAnsi="Arial Narrow" w:cs="Arial"/>
          <w:color w:val="7F7F7F" w:themeColor="text1" w:themeTint="80"/>
          <w:sz w:val="27"/>
          <w:szCs w:val="27"/>
        </w:rPr>
        <w:t xml:space="preserve"> </w:t>
      </w:r>
      <w:r w:rsidRPr="00A44788">
        <w:rPr>
          <w:rFonts w:ascii="Arial Narrow" w:hAnsi="Arial Narrow"/>
          <w:color w:val="7F7F7F" w:themeColor="text1" w:themeTint="80"/>
          <w:sz w:val="27"/>
          <w:szCs w:val="27"/>
        </w:rPr>
        <w:t xml:space="preserve">párrafo  segundo y 244 </w:t>
      </w:r>
      <w:r w:rsidRPr="00A44788">
        <w:rPr>
          <w:rFonts w:ascii="Arial Narrow" w:hAnsi="Arial Narrow" w:cs="Arial"/>
          <w:color w:val="7F7F7F" w:themeColor="text1" w:themeTint="80"/>
          <w:sz w:val="27"/>
          <w:szCs w:val="27"/>
        </w:rPr>
        <w:t xml:space="preserve">de la Ley Orgánica Municipal para el Estado de Guanajuato en vigor; 1 fracción II, 3 párrafo segundo, 287, 298, 299, 300 fracciones II y V, y 302 fracción III, del Código de Procedimiento y Justicia Administrativa para el Estado y los Municipios de Guanajuato se </w:t>
      </w:r>
      <w:r w:rsidRPr="00A44788">
        <w:rPr>
          <w:rFonts w:ascii="Arial Narrow" w:hAnsi="Arial Narrow" w:cs="Arial"/>
          <w:b/>
          <w:color w:val="7F7F7F" w:themeColor="text1" w:themeTint="80"/>
          <w:sz w:val="27"/>
          <w:szCs w:val="27"/>
        </w:rPr>
        <w:t xml:space="preserve">RESUELVE: </w:t>
      </w:r>
      <w:r w:rsidRPr="00A44788">
        <w:rPr>
          <w:rFonts w:ascii="Arial Narrow" w:hAnsi="Arial Narrow" w:cs="Arial"/>
          <w:color w:val="7F7F7F" w:themeColor="text1" w:themeTint="80"/>
          <w:sz w:val="27"/>
          <w:szCs w:val="27"/>
        </w:rPr>
        <w:t xml:space="preserve">. . . . . . . . . . . . . . . . . . . . . . . . . . . . . . </w:t>
      </w:r>
    </w:p>
    <w:p w:rsidR="00DB44ED" w:rsidRPr="00A44788" w:rsidRDefault="00DB44ED" w:rsidP="00D91DE7">
      <w:pPr>
        <w:spacing w:line="360" w:lineRule="auto"/>
        <w:jc w:val="both"/>
        <w:rPr>
          <w:rFonts w:ascii="Arial Narrow" w:hAnsi="Arial Narrow" w:cs="Arial"/>
          <w:color w:val="7F7F7F" w:themeColor="text1" w:themeTint="80"/>
          <w:sz w:val="27"/>
          <w:szCs w:val="27"/>
        </w:rPr>
      </w:pPr>
    </w:p>
    <w:p w:rsidR="00A42C33" w:rsidRPr="00A44788" w:rsidRDefault="00DB44ED" w:rsidP="00D91DE7">
      <w:pPr>
        <w:spacing w:line="360" w:lineRule="auto"/>
        <w:ind w:firstLine="708"/>
        <w:jc w:val="both"/>
        <w:rPr>
          <w:rFonts w:ascii="Arial Narrow" w:hAnsi="Arial Narrow"/>
          <w:color w:val="7F7F7F" w:themeColor="text1" w:themeTint="80"/>
          <w:sz w:val="27"/>
          <w:szCs w:val="27"/>
        </w:rPr>
      </w:pPr>
      <w:r w:rsidRPr="00A44788">
        <w:rPr>
          <w:rFonts w:ascii="Arial Narrow" w:hAnsi="Arial Narrow" w:cs="Arial"/>
          <w:b/>
          <w:color w:val="7F7F7F" w:themeColor="text1" w:themeTint="80"/>
          <w:sz w:val="27"/>
          <w:szCs w:val="27"/>
        </w:rPr>
        <w:t>SEGUNDO.-</w:t>
      </w:r>
      <w:r w:rsidRPr="00A44788">
        <w:rPr>
          <w:rFonts w:ascii="Arial Narrow" w:hAnsi="Arial Narrow" w:cs="Arial"/>
          <w:color w:val="7F7F7F" w:themeColor="text1" w:themeTint="80"/>
          <w:sz w:val="27"/>
          <w:szCs w:val="27"/>
        </w:rPr>
        <w:t xml:space="preserve"> Se declara la</w:t>
      </w:r>
      <w:r w:rsidRPr="00A44788">
        <w:rPr>
          <w:rFonts w:ascii="Arial Narrow" w:hAnsi="Arial Narrow" w:cs="Arial"/>
          <w:b/>
          <w:color w:val="7F7F7F" w:themeColor="text1" w:themeTint="80"/>
          <w:sz w:val="27"/>
          <w:szCs w:val="27"/>
        </w:rPr>
        <w:t xml:space="preserve"> NULIDAD </w:t>
      </w:r>
      <w:r w:rsidR="00D91DE7" w:rsidRPr="00A44788">
        <w:rPr>
          <w:rFonts w:ascii="Arial Narrow" w:hAnsi="Arial Narrow" w:cs="Arial"/>
          <w:b/>
          <w:color w:val="7F7F7F" w:themeColor="text1" w:themeTint="80"/>
          <w:sz w:val="27"/>
          <w:szCs w:val="27"/>
        </w:rPr>
        <w:t xml:space="preserve">TOTAL </w:t>
      </w:r>
      <w:r w:rsidRPr="00A44788">
        <w:rPr>
          <w:rFonts w:ascii="Arial Narrow" w:hAnsi="Arial Narrow" w:cs="Arial"/>
          <w:color w:val="7F7F7F" w:themeColor="text1" w:themeTint="80"/>
          <w:sz w:val="27"/>
          <w:szCs w:val="27"/>
        </w:rPr>
        <w:t xml:space="preserve">del </w:t>
      </w:r>
      <w:r w:rsidR="0093765F" w:rsidRPr="00A44788">
        <w:rPr>
          <w:rFonts w:ascii="Arial Narrow" w:hAnsi="Arial Narrow" w:cs="Arial"/>
          <w:color w:val="7F7F7F" w:themeColor="text1" w:themeTint="80"/>
          <w:sz w:val="27"/>
          <w:szCs w:val="27"/>
        </w:rPr>
        <w:t xml:space="preserve">avalúo </w:t>
      </w:r>
      <w:r w:rsidR="00A44788" w:rsidRPr="00A44788">
        <w:rPr>
          <w:rFonts w:ascii="Arial Narrow" w:hAnsi="Arial Narrow" w:cs="Arial"/>
          <w:color w:val="7F7F7F" w:themeColor="text1" w:themeTint="80"/>
          <w:sz w:val="27"/>
          <w:szCs w:val="27"/>
        </w:rPr>
        <w:t>…</w:t>
      </w:r>
      <w:r w:rsidR="0093765F" w:rsidRPr="00A44788">
        <w:rPr>
          <w:rFonts w:ascii="Arial Narrow" w:hAnsi="Arial Narrow"/>
          <w:color w:val="7F7F7F" w:themeColor="text1" w:themeTint="80"/>
          <w:sz w:val="27"/>
          <w:szCs w:val="27"/>
        </w:rPr>
        <w:t xml:space="preserve">, </w:t>
      </w:r>
      <w:r w:rsidR="00A42C33" w:rsidRPr="00A44788">
        <w:rPr>
          <w:rFonts w:ascii="Arial Narrow" w:hAnsi="Arial Narrow" w:cs="Arial"/>
          <w:color w:val="7F7F7F" w:themeColor="text1" w:themeTint="80"/>
          <w:sz w:val="27"/>
          <w:szCs w:val="27"/>
        </w:rPr>
        <w:t xml:space="preserve">y de sus actos consecuentes como lo son, entre otros, Crédito Fiscal </w:t>
      </w:r>
      <w:r w:rsidR="00A44788" w:rsidRPr="00A44788">
        <w:rPr>
          <w:rFonts w:ascii="Arial Narrow" w:hAnsi="Arial Narrow" w:cs="Arial"/>
          <w:color w:val="7F7F7F" w:themeColor="text1" w:themeTint="80"/>
          <w:sz w:val="27"/>
          <w:szCs w:val="27"/>
        </w:rPr>
        <w:t>…</w:t>
      </w:r>
      <w:r w:rsidR="00A42C33" w:rsidRPr="00A44788">
        <w:rPr>
          <w:rFonts w:ascii="Arial Narrow" w:hAnsi="Arial Narrow" w:cs="Arial"/>
          <w:color w:val="7F7F7F" w:themeColor="text1" w:themeTint="80"/>
          <w:sz w:val="27"/>
          <w:szCs w:val="27"/>
        </w:rPr>
        <w:t xml:space="preserve">, a cargo del impetrante, por concepto de impuesto predial del periodo de </w:t>
      </w:r>
      <w:r w:rsidR="00953342" w:rsidRPr="00A44788">
        <w:rPr>
          <w:rFonts w:ascii="Arial Narrow" w:hAnsi="Arial Narrow" w:cs="Arial"/>
          <w:color w:val="7F7F7F" w:themeColor="text1" w:themeTint="80"/>
          <w:sz w:val="27"/>
          <w:szCs w:val="27"/>
        </w:rPr>
        <w:t>enero a diciembre</w:t>
      </w:r>
      <w:r w:rsidR="00A42C33" w:rsidRPr="00A44788">
        <w:rPr>
          <w:rFonts w:ascii="Arial Narrow" w:hAnsi="Arial Narrow" w:cs="Arial"/>
          <w:color w:val="7F7F7F" w:themeColor="text1" w:themeTint="80"/>
          <w:sz w:val="27"/>
          <w:szCs w:val="27"/>
        </w:rPr>
        <w:t xml:space="preserve"> del</w:t>
      </w:r>
      <w:r w:rsidR="00953342" w:rsidRPr="00A44788">
        <w:rPr>
          <w:rFonts w:ascii="Arial Narrow" w:hAnsi="Arial Narrow" w:cs="Arial"/>
          <w:color w:val="7F7F7F" w:themeColor="text1" w:themeTint="80"/>
          <w:sz w:val="27"/>
          <w:szCs w:val="27"/>
        </w:rPr>
        <w:t xml:space="preserve"> año</w:t>
      </w:r>
      <w:r w:rsidR="00A42C33" w:rsidRPr="00A44788">
        <w:rPr>
          <w:rFonts w:ascii="Arial Narrow" w:hAnsi="Arial Narrow" w:cs="Arial"/>
          <w:color w:val="7F7F7F" w:themeColor="text1" w:themeTint="80"/>
          <w:sz w:val="27"/>
          <w:szCs w:val="27"/>
        </w:rPr>
        <w:t xml:space="preserve"> 2015 dos mil quince y por honorarios de avalúo, según consta en el </w:t>
      </w:r>
      <w:r w:rsidR="00A42C33" w:rsidRPr="00A44788">
        <w:rPr>
          <w:rFonts w:ascii="Arial Narrow" w:hAnsi="Arial Narrow" w:cs="Arial"/>
          <w:i/>
          <w:color w:val="7F7F7F" w:themeColor="text1" w:themeTint="80"/>
          <w:sz w:val="27"/>
          <w:szCs w:val="27"/>
        </w:rPr>
        <w:t>“Estado de Cuenta Predial”</w:t>
      </w:r>
      <w:r w:rsidR="00A42C33" w:rsidRPr="00A44788">
        <w:rPr>
          <w:rFonts w:ascii="Arial Narrow" w:hAnsi="Arial Narrow" w:cs="Arial"/>
          <w:color w:val="7F7F7F" w:themeColor="text1" w:themeTint="80"/>
          <w:sz w:val="27"/>
          <w:szCs w:val="27"/>
        </w:rPr>
        <w:t>, de fecha 16 dieciséis de febrero del año 2015 dos mil quince; lo anterior, por las razones lógicas y jurídicas expuestas en el cuarto considerando de esta sentencia. . . . . . . . . . . . . . . . . . . .</w:t>
      </w:r>
      <w:r w:rsidR="00D91DE7" w:rsidRPr="00A44788">
        <w:rPr>
          <w:rFonts w:ascii="Arial Narrow" w:hAnsi="Arial Narrow" w:cs="Arial"/>
          <w:color w:val="7F7F7F" w:themeColor="text1" w:themeTint="80"/>
          <w:sz w:val="27"/>
          <w:szCs w:val="27"/>
        </w:rPr>
        <w:t xml:space="preserve"> . . . . . . . . . . . . </w:t>
      </w:r>
      <w:r w:rsidR="00953342" w:rsidRPr="00A44788">
        <w:rPr>
          <w:rFonts w:ascii="Arial Narrow" w:hAnsi="Arial Narrow" w:cs="Arial"/>
          <w:color w:val="7F7F7F" w:themeColor="text1" w:themeTint="80"/>
          <w:sz w:val="27"/>
          <w:szCs w:val="27"/>
        </w:rPr>
        <w:t xml:space="preserve">. . . . . . . . . . </w:t>
      </w:r>
      <w:r w:rsidR="00A44788" w:rsidRPr="00A44788">
        <w:rPr>
          <w:rFonts w:ascii="Arial Narrow" w:hAnsi="Arial Narrow" w:cs="Arial"/>
          <w:color w:val="7F7F7F" w:themeColor="text1" w:themeTint="80"/>
          <w:sz w:val="27"/>
          <w:szCs w:val="27"/>
        </w:rPr>
        <w:t xml:space="preserve">. . . . . . . . . . . . . . . . . </w:t>
      </w:r>
    </w:p>
    <w:p w:rsidR="00A42C33" w:rsidRPr="00A44788" w:rsidRDefault="00A42C33" w:rsidP="00D91DE7">
      <w:pPr>
        <w:spacing w:line="360" w:lineRule="auto"/>
        <w:jc w:val="both"/>
        <w:rPr>
          <w:rFonts w:ascii="Arial Narrow" w:hAnsi="Arial Narrow" w:cs="Arial"/>
          <w:b/>
          <w:color w:val="7F7F7F" w:themeColor="text1" w:themeTint="80"/>
          <w:sz w:val="27"/>
          <w:szCs w:val="27"/>
        </w:rPr>
      </w:pPr>
    </w:p>
    <w:p w:rsidR="00DB44ED" w:rsidRPr="00A44788" w:rsidRDefault="00DB44ED" w:rsidP="00D63409">
      <w:pPr>
        <w:spacing w:line="360" w:lineRule="auto"/>
        <w:ind w:firstLine="708"/>
        <w:jc w:val="both"/>
        <w:rPr>
          <w:rFonts w:ascii="Arial Narrow" w:hAnsi="Arial Narrow"/>
          <w:color w:val="7F7F7F" w:themeColor="text1" w:themeTint="80"/>
          <w:sz w:val="27"/>
          <w:szCs w:val="27"/>
        </w:rPr>
      </w:pPr>
      <w:r w:rsidRPr="00A44788">
        <w:rPr>
          <w:rFonts w:ascii="Arial Narrow" w:hAnsi="Arial Narrow" w:cs="Arial"/>
          <w:b/>
          <w:color w:val="7F7F7F" w:themeColor="text1" w:themeTint="80"/>
          <w:sz w:val="27"/>
          <w:szCs w:val="27"/>
        </w:rPr>
        <w:t xml:space="preserve">TERCERO.- </w:t>
      </w:r>
      <w:r w:rsidRPr="00A44788">
        <w:rPr>
          <w:rFonts w:ascii="Arial Narrow" w:hAnsi="Arial Narrow" w:cs="Arial"/>
          <w:color w:val="7F7F7F" w:themeColor="text1" w:themeTint="80"/>
          <w:sz w:val="27"/>
          <w:szCs w:val="27"/>
        </w:rPr>
        <w:t xml:space="preserve">Se reconoce a la parte actora el derecho contemplado en el artículo 168, párrafo tercero, de la Ley de Hacienda para los Municipios del Estado de Guanajuato, para que </w:t>
      </w:r>
      <w:r w:rsidR="00A42C33" w:rsidRPr="00A44788">
        <w:rPr>
          <w:rFonts w:ascii="Arial Narrow" w:hAnsi="Arial Narrow" w:cs="Arial"/>
          <w:color w:val="7F7F7F" w:themeColor="text1" w:themeTint="80"/>
          <w:sz w:val="27"/>
          <w:szCs w:val="27"/>
        </w:rPr>
        <w:t xml:space="preserve">la autoridad fiscal competente </w:t>
      </w:r>
      <w:r w:rsidR="00953342" w:rsidRPr="00A44788">
        <w:rPr>
          <w:rFonts w:ascii="Arial Narrow" w:hAnsi="Arial Narrow" w:cs="Arial"/>
          <w:color w:val="7F7F7F" w:themeColor="text1" w:themeTint="80"/>
          <w:sz w:val="27"/>
          <w:szCs w:val="27"/>
        </w:rPr>
        <w:t>d</w:t>
      </w:r>
      <w:r w:rsidRPr="00A44788">
        <w:rPr>
          <w:rFonts w:ascii="Arial Narrow" w:hAnsi="Arial Narrow" w:cs="Arial"/>
          <w:color w:val="7F7F7F" w:themeColor="text1" w:themeTint="80"/>
          <w:sz w:val="27"/>
          <w:szCs w:val="27"/>
        </w:rPr>
        <w:t>etermine y liquide el impuesto predial</w:t>
      </w:r>
      <w:r w:rsidR="00A42C33" w:rsidRPr="00A44788">
        <w:rPr>
          <w:rFonts w:ascii="Arial Narrow" w:hAnsi="Arial Narrow" w:cs="Arial"/>
          <w:color w:val="7F7F7F" w:themeColor="text1" w:themeTint="80"/>
          <w:sz w:val="27"/>
          <w:szCs w:val="27"/>
        </w:rPr>
        <w:t xml:space="preserve"> por </w:t>
      </w:r>
      <w:r w:rsidR="00D91DE7" w:rsidRPr="00A44788">
        <w:rPr>
          <w:rFonts w:ascii="Arial Narrow" w:hAnsi="Arial Narrow" w:cs="Arial"/>
          <w:color w:val="7F7F7F" w:themeColor="text1" w:themeTint="80"/>
          <w:sz w:val="27"/>
          <w:szCs w:val="27"/>
        </w:rPr>
        <w:t>el</w:t>
      </w:r>
      <w:r w:rsidR="00A42C33" w:rsidRPr="00A44788">
        <w:rPr>
          <w:rFonts w:ascii="Arial Narrow" w:hAnsi="Arial Narrow" w:cs="Arial"/>
          <w:color w:val="7F7F7F" w:themeColor="text1" w:themeTint="80"/>
          <w:sz w:val="27"/>
          <w:szCs w:val="27"/>
        </w:rPr>
        <w:t xml:space="preserve"> periodo que se deba pagar</w:t>
      </w:r>
      <w:r w:rsidRPr="00A44788">
        <w:rPr>
          <w:rFonts w:ascii="Arial Narrow" w:hAnsi="Arial Narrow" w:cs="Arial"/>
          <w:color w:val="7F7F7F" w:themeColor="text1" w:themeTint="80"/>
          <w:sz w:val="27"/>
          <w:szCs w:val="27"/>
        </w:rPr>
        <w:t xml:space="preserve">, tomando como base de dicha contribución el último valor fiscal registrado, en tanto se emite el nuevo valor fiscal; </w:t>
      </w:r>
      <w:r w:rsidRPr="00A44788">
        <w:rPr>
          <w:rFonts w:ascii="Arial Narrow" w:hAnsi="Arial Narrow"/>
          <w:color w:val="7F7F7F" w:themeColor="text1" w:themeTint="80"/>
          <w:sz w:val="27"/>
          <w:szCs w:val="27"/>
        </w:rPr>
        <w:t xml:space="preserve">por las razones lógicas y jurídicas expuestas en el quinto considerando de esta sentencia. . </w:t>
      </w:r>
      <w:r w:rsidR="00FB53C3" w:rsidRPr="00A44788">
        <w:rPr>
          <w:rFonts w:ascii="Arial Narrow" w:hAnsi="Arial Narrow"/>
          <w:color w:val="7F7F7F" w:themeColor="text1" w:themeTint="80"/>
          <w:sz w:val="27"/>
          <w:szCs w:val="27"/>
        </w:rPr>
        <w:t xml:space="preserve">. . . . . . . . . . . . . . . . . . . . . . . . . . . . . </w:t>
      </w:r>
      <w:r w:rsidR="00D91DE7" w:rsidRPr="00A44788">
        <w:rPr>
          <w:rFonts w:ascii="Arial Narrow" w:hAnsi="Arial Narrow"/>
          <w:color w:val="7F7F7F" w:themeColor="text1" w:themeTint="80"/>
          <w:sz w:val="27"/>
          <w:szCs w:val="27"/>
        </w:rPr>
        <w:t xml:space="preserve"> </w:t>
      </w:r>
      <w:r w:rsidR="00FB53C3" w:rsidRPr="00A44788">
        <w:rPr>
          <w:rFonts w:ascii="Arial Narrow" w:hAnsi="Arial Narrow"/>
          <w:color w:val="7F7F7F" w:themeColor="text1" w:themeTint="80"/>
          <w:sz w:val="27"/>
          <w:szCs w:val="27"/>
        </w:rPr>
        <w:t xml:space="preserve">. </w:t>
      </w:r>
      <w:r w:rsidR="00D91DE7" w:rsidRPr="00A44788">
        <w:rPr>
          <w:rFonts w:ascii="Arial Narrow" w:hAnsi="Arial Narrow"/>
          <w:color w:val="7F7F7F" w:themeColor="text1" w:themeTint="80"/>
          <w:sz w:val="27"/>
          <w:szCs w:val="27"/>
        </w:rPr>
        <w:t xml:space="preserve">. . . . . . . . . . . . . . . . . . . . . . . . . . . </w:t>
      </w:r>
    </w:p>
    <w:p w:rsidR="00953342" w:rsidRPr="00A44788" w:rsidRDefault="00953342" w:rsidP="00D63409">
      <w:pPr>
        <w:spacing w:line="360" w:lineRule="auto"/>
        <w:jc w:val="both"/>
        <w:rPr>
          <w:rFonts w:ascii="Arial Narrow" w:hAnsi="Arial Narrow" w:cs="Arial"/>
          <w:color w:val="7F7F7F" w:themeColor="text1" w:themeTint="80"/>
          <w:sz w:val="27"/>
          <w:szCs w:val="27"/>
        </w:rPr>
      </w:pPr>
    </w:p>
    <w:p w:rsidR="00DB44ED" w:rsidRPr="00A44788" w:rsidRDefault="00DB44ED" w:rsidP="00D91DE7">
      <w:pPr>
        <w:spacing w:line="360" w:lineRule="auto"/>
        <w:ind w:firstLine="708"/>
        <w:jc w:val="both"/>
        <w:rPr>
          <w:rFonts w:ascii="Arial Narrow" w:hAnsi="Arial Narrow" w:cs="Arial"/>
          <w:color w:val="7F7F7F" w:themeColor="text1" w:themeTint="80"/>
          <w:sz w:val="27"/>
          <w:szCs w:val="27"/>
        </w:rPr>
      </w:pPr>
      <w:r w:rsidRPr="00A44788">
        <w:rPr>
          <w:rFonts w:ascii="Arial Narrow" w:hAnsi="Arial Narrow" w:cs="Arial"/>
          <w:color w:val="7F7F7F" w:themeColor="text1" w:themeTint="80"/>
          <w:sz w:val="27"/>
          <w:szCs w:val="27"/>
        </w:rPr>
        <w:t xml:space="preserve">Así lo resolvió y firma, </w:t>
      </w:r>
      <w:r w:rsidR="00A44788" w:rsidRPr="00A44788">
        <w:rPr>
          <w:rFonts w:ascii="Arial Narrow" w:hAnsi="Arial Narrow" w:cs="Arial"/>
          <w:color w:val="7F7F7F" w:themeColor="text1" w:themeTint="80"/>
          <w:sz w:val="27"/>
          <w:szCs w:val="27"/>
        </w:rPr>
        <w:t>…</w:t>
      </w:r>
      <w:r w:rsidRPr="00A44788">
        <w:rPr>
          <w:rFonts w:ascii="Arial Narrow" w:hAnsi="Arial Narrow" w:cs="Arial"/>
          <w:color w:val="7F7F7F" w:themeColor="text1" w:themeTint="80"/>
          <w:sz w:val="27"/>
          <w:szCs w:val="27"/>
        </w:rPr>
        <w:t xml:space="preserve"> el </w:t>
      </w:r>
      <w:r w:rsidRPr="00A44788">
        <w:rPr>
          <w:rFonts w:ascii="Arial Narrow" w:hAnsi="Arial Narrow" w:cs="Arial"/>
          <w:b/>
          <w:color w:val="7F7F7F" w:themeColor="text1" w:themeTint="80"/>
          <w:sz w:val="27"/>
          <w:szCs w:val="27"/>
        </w:rPr>
        <w:t xml:space="preserve">LICENCIADO ELIVERIO GARCÍA MONZÓN, </w:t>
      </w:r>
      <w:r w:rsidRPr="00A44788">
        <w:rPr>
          <w:rFonts w:ascii="Arial Narrow" w:hAnsi="Arial Narrow" w:cs="Arial"/>
          <w:color w:val="7F7F7F" w:themeColor="text1" w:themeTint="80"/>
          <w:sz w:val="27"/>
          <w:szCs w:val="27"/>
        </w:rPr>
        <w:t xml:space="preserve">Juez Primero Administrativo Municipal de León, Guanajuato, quien actúa asistido en </w:t>
      </w:r>
      <w:r w:rsidRPr="00A44788">
        <w:rPr>
          <w:rFonts w:ascii="Arial Narrow" w:hAnsi="Arial Narrow" w:cs="Arial"/>
          <w:color w:val="7F7F7F" w:themeColor="text1" w:themeTint="80"/>
          <w:sz w:val="27"/>
          <w:szCs w:val="27"/>
        </w:rPr>
        <w:lastRenderedPageBreak/>
        <w:t xml:space="preserve">forma legal con la </w:t>
      </w:r>
      <w:r w:rsidRPr="00A44788">
        <w:rPr>
          <w:rFonts w:ascii="Arial Narrow" w:hAnsi="Arial Narrow" w:cs="Arial"/>
          <w:b/>
          <w:color w:val="7F7F7F" w:themeColor="text1" w:themeTint="80"/>
          <w:sz w:val="27"/>
          <w:szCs w:val="27"/>
        </w:rPr>
        <w:t>LICENCIADA MA. TERESA ALFÉREZ RODRÍGUEZ,</w:t>
      </w:r>
      <w:r w:rsidRPr="00A44788">
        <w:rPr>
          <w:rFonts w:ascii="Arial Narrow" w:hAnsi="Arial Narrow" w:cs="Arial"/>
          <w:color w:val="7F7F7F" w:themeColor="text1" w:themeTint="80"/>
          <w:sz w:val="27"/>
          <w:szCs w:val="27"/>
        </w:rPr>
        <w:t xml:space="preserve"> Secretaria de Estudio y Cuenta</w:t>
      </w:r>
      <w:r w:rsidRPr="00A44788">
        <w:rPr>
          <w:rFonts w:ascii="Arial Narrow" w:hAnsi="Arial Narrow" w:cs="Arial"/>
          <w:b/>
          <w:color w:val="7F7F7F" w:themeColor="text1" w:themeTint="80"/>
          <w:sz w:val="27"/>
          <w:szCs w:val="27"/>
        </w:rPr>
        <w:t>.- que da fe</w:t>
      </w:r>
      <w:r w:rsidRPr="00A44788">
        <w:rPr>
          <w:rFonts w:ascii="Arial Narrow" w:hAnsi="Arial Narrow" w:cs="Arial"/>
          <w:color w:val="7F7F7F" w:themeColor="text1" w:themeTint="80"/>
          <w:sz w:val="27"/>
          <w:szCs w:val="27"/>
        </w:rPr>
        <w:t>. . . . . . . . . . .  . . . . . . . . . .</w:t>
      </w:r>
      <w:r w:rsidR="00A44788" w:rsidRPr="00A44788">
        <w:rPr>
          <w:rFonts w:ascii="Arial Narrow" w:hAnsi="Arial Narrow" w:cs="Arial"/>
          <w:color w:val="7F7F7F" w:themeColor="text1" w:themeTint="80"/>
          <w:sz w:val="27"/>
          <w:szCs w:val="27"/>
        </w:rPr>
        <w:t xml:space="preserve"> </w:t>
      </w:r>
      <w:r w:rsidR="00A44788" w:rsidRPr="00A44788">
        <w:rPr>
          <w:rFonts w:ascii="Arial Narrow" w:hAnsi="Arial Narrow" w:cs="Arial"/>
          <w:color w:val="7F7F7F" w:themeColor="text1" w:themeTint="80"/>
          <w:sz w:val="27"/>
          <w:szCs w:val="27"/>
        </w:rPr>
        <w:t>. . . . . . . .</w:t>
      </w:r>
      <w:r w:rsidR="00A44788" w:rsidRPr="00A44788">
        <w:rPr>
          <w:rFonts w:ascii="Arial Narrow" w:hAnsi="Arial Narrow" w:cs="Arial"/>
          <w:color w:val="7F7F7F" w:themeColor="text1" w:themeTint="80"/>
          <w:sz w:val="27"/>
          <w:szCs w:val="27"/>
        </w:rPr>
        <w:t xml:space="preserve"> </w:t>
      </w:r>
      <w:r w:rsidR="00A44788" w:rsidRPr="00A44788">
        <w:rPr>
          <w:rFonts w:ascii="Arial Narrow" w:hAnsi="Arial Narrow" w:cs="Arial"/>
          <w:color w:val="7F7F7F" w:themeColor="text1" w:themeTint="80"/>
          <w:sz w:val="27"/>
          <w:szCs w:val="27"/>
        </w:rPr>
        <w:t>. . . . . . . .</w:t>
      </w:r>
      <w:r w:rsidR="00A44788" w:rsidRPr="00A44788">
        <w:rPr>
          <w:rFonts w:ascii="Arial Narrow" w:hAnsi="Arial Narrow" w:cs="Arial"/>
          <w:color w:val="7F7F7F" w:themeColor="text1" w:themeTint="80"/>
          <w:sz w:val="27"/>
          <w:szCs w:val="27"/>
        </w:rPr>
        <w:t xml:space="preserve"> </w:t>
      </w:r>
      <w:r w:rsidR="00A44788" w:rsidRPr="00A44788">
        <w:rPr>
          <w:rFonts w:ascii="Arial Narrow" w:hAnsi="Arial Narrow" w:cs="Arial"/>
          <w:color w:val="7F7F7F" w:themeColor="text1" w:themeTint="80"/>
          <w:sz w:val="27"/>
          <w:szCs w:val="27"/>
        </w:rPr>
        <w:t xml:space="preserve">. . . . </w:t>
      </w:r>
      <w:bookmarkEnd w:id="0"/>
    </w:p>
    <w:sectPr w:rsidR="00DB44ED" w:rsidRPr="00A44788" w:rsidSect="00580EAA">
      <w:headerReference w:type="even" r:id="rId8"/>
      <w:headerReference w:type="default" r:id="rId9"/>
      <w:pgSz w:w="12242" w:h="20163" w:code="5"/>
      <w:pgMar w:top="2835"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13B" w:rsidRDefault="007C613B">
      <w:r>
        <w:separator/>
      </w:r>
    </w:p>
  </w:endnote>
  <w:endnote w:type="continuationSeparator" w:id="0">
    <w:p w:rsidR="007C613B" w:rsidRDefault="007C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13B" w:rsidRDefault="007C613B">
      <w:r>
        <w:separator/>
      </w:r>
    </w:p>
  </w:footnote>
  <w:footnote w:type="continuationSeparator" w:id="0">
    <w:p w:rsidR="007C613B" w:rsidRDefault="007C6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5C" w:rsidRDefault="00135C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C5C" w:rsidRDefault="00135C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C5C" w:rsidRPr="00F749A7" w:rsidRDefault="00135C5C">
    <w:pPr>
      <w:pStyle w:val="Encabezado"/>
      <w:framePr w:wrap="around" w:vAnchor="text" w:hAnchor="margin" w:xAlign="center" w:y="1"/>
      <w:rPr>
        <w:rStyle w:val="Nmerodepgina"/>
      </w:rPr>
    </w:pPr>
    <w:r w:rsidRPr="00F749A7">
      <w:rPr>
        <w:rStyle w:val="Nmerodepgina"/>
        <w:rFonts w:ascii="Arial Narrow" w:hAnsi="Arial Narrow"/>
        <w:sz w:val="26"/>
        <w:szCs w:val="26"/>
      </w:rPr>
      <w:fldChar w:fldCharType="begin"/>
    </w:r>
    <w:r>
      <w:rPr>
        <w:rStyle w:val="Nmerodepgina"/>
        <w:rFonts w:ascii="Arial Narrow" w:hAnsi="Arial Narrow"/>
        <w:sz w:val="26"/>
        <w:szCs w:val="26"/>
      </w:rPr>
      <w:instrText>PAGE</w:instrText>
    </w:r>
    <w:r w:rsidRPr="00F749A7">
      <w:rPr>
        <w:rStyle w:val="Nmerodepgina"/>
        <w:rFonts w:ascii="Arial Narrow" w:hAnsi="Arial Narrow"/>
        <w:sz w:val="26"/>
        <w:szCs w:val="26"/>
      </w:rPr>
      <w:instrText xml:space="preserve">  </w:instrText>
    </w:r>
    <w:r w:rsidRPr="00F749A7">
      <w:rPr>
        <w:rStyle w:val="Nmerodepgina"/>
        <w:rFonts w:ascii="Arial Narrow" w:hAnsi="Arial Narrow"/>
        <w:sz w:val="26"/>
        <w:szCs w:val="26"/>
      </w:rPr>
      <w:fldChar w:fldCharType="separate"/>
    </w:r>
    <w:r w:rsidR="00A44788">
      <w:rPr>
        <w:rStyle w:val="Nmerodepgina"/>
        <w:rFonts w:ascii="Arial Narrow" w:hAnsi="Arial Narrow"/>
        <w:noProof/>
        <w:sz w:val="26"/>
        <w:szCs w:val="26"/>
      </w:rPr>
      <w:t>10</w:t>
    </w:r>
    <w:r w:rsidRPr="00F749A7">
      <w:rPr>
        <w:rStyle w:val="Nmerodepgina"/>
        <w:rFonts w:ascii="Arial Narrow" w:hAnsi="Arial Narrow"/>
        <w:sz w:val="26"/>
        <w:szCs w:val="26"/>
      </w:rPr>
      <w:fldChar w:fldCharType="end"/>
    </w:r>
  </w:p>
  <w:p w:rsidR="00135C5C" w:rsidRDefault="00135C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5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AA"/>
    <w:rsid w:val="00003D49"/>
    <w:rsid w:val="00011A12"/>
    <w:rsid w:val="00015CB4"/>
    <w:rsid w:val="000245DF"/>
    <w:rsid w:val="0002564A"/>
    <w:rsid w:val="00070E01"/>
    <w:rsid w:val="000756E3"/>
    <w:rsid w:val="000926DD"/>
    <w:rsid w:val="000A0445"/>
    <w:rsid w:val="000A47B6"/>
    <w:rsid w:val="000B3060"/>
    <w:rsid w:val="000C3632"/>
    <w:rsid w:val="000D6EC8"/>
    <w:rsid w:val="001060CA"/>
    <w:rsid w:val="001063A3"/>
    <w:rsid w:val="00107576"/>
    <w:rsid w:val="0011300D"/>
    <w:rsid w:val="00135C5C"/>
    <w:rsid w:val="00142C4F"/>
    <w:rsid w:val="00144556"/>
    <w:rsid w:val="00145BC7"/>
    <w:rsid w:val="00154B07"/>
    <w:rsid w:val="00170155"/>
    <w:rsid w:val="0018167D"/>
    <w:rsid w:val="00187E68"/>
    <w:rsid w:val="001A1D2A"/>
    <w:rsid w:val="001C4EF7"/>
    <w:rsid w:val="001C59CD"/>
    <w:rsid w:val="001C73E8"/>
    <w:rsid w:val="00214C51"/>
    <w:rsid w:val="00215353"/>
    <w:rsid w:val="0023362B"/>
    <w:rsid w:val="00242A18"/>
    <w:rsid w:val="00250F95"/>
    <w:rsid w:val="00275491"/>
    <w:rsid w:val="00283C0E"/>
    <w:rsid w:val="002D1542"/>
    <w:rsid w:val="002D35D5"/>
    <w:rsid w:val="002D7164"/>
    <w:rsid w:val="002F7506"/>
    <w:rsid w:val="0030758A"/>
    <w:rsid w:val="00315390"/>
    <w:rsid w:val="0032668F"/>
    <w:rsid w:val="00333AB2"/>
    <w:rsid w:val="003941D0"/>
    <w:rsid w:val="003B10E7"/>
    <w:rsid w:val="003B3CC7"/>
    <w:rsid w:val="003E45DD"/>
    <w:rsid w:val="003F7B7C"/>
    <w:rsid w:val="0040137F"/>
    <w:rsid w:val="004300CE"/>
    <w:rsid w:val="00443F53"/>
    <w:rsid w:val="0045183D"/>
    <w:rsid w:val="00495181"/>
    <w:rsid w:val="00496401"/>
    <w:rsid w:val="00496B44"/>
    <w:rsid w:val="004A38FC"/>
    <w:rsid w:val="004A41E8"/>
    <w:rsid w:val="004A5E4D"/>
    <w:rsid w:val="004B6E17"/>
    <w:rsid w:val="004B7A38"/>
    <w:rsid w:val="004E041B"/>
    <w:rsid w:val="004E1E41"/>
    <w:rsid w:val="004E48F8"/>
    <w:rsid w:val="004E4DD6"/>
    <w:rsid w:val="004F016D"/>
    <w:rsid w:val="004F0E06"/>
    <w:rsid w:val="004F6E90"/>
    <w:rsid w:val="00505139"/>
    <w:rsid w:val="00525A7C"/>
    <w:rsid w:val="005414BD"/>
    <w:rsid w:val="00542759"/>
    <w:rsid w:val="00564643"/>
    <w:rsid w:val="00580EAA"/>
    <w:rsid w:val="00586C01"/>
    <w:rsid w:val="00591F29"/>
    <w:rsid w:val="00596928"/>
    <w:rsid w:val="005B1845"/>
    <w:rsid w:val="005C3F7A"/>
    <w:rsid w:val="005C6850"/>
    <w:rsid w:val="005E10D0"/>
    <w:rsid w:val="005F23B9"/>
    <w:rsid w:val="005F5C71"/>
    <w:rsid w:val="006105A5"/>
    <w:rsid w:val="0061653A"/>
    <w:rsid w:val="00622C6D"/>
    <w:rsid w:val="00631377"/>
    <w:rsid w:val="00635275"/>
    <w:rsid w:val="006430A2"/>
    <w:rsid w:val="00652A3C"/>
    <w:rsid w:val="0066548F"/>
    <w:rsid w:val="006712C8"/>
    <w:rsid w:val="0067227C"/>
    <w:rsid w:val="006748DC"/>
    <w:rsid w:val="00687D79"/>
    <w:rsid w:val="006A0C4E"/>
    <w:rsid w:val="006A1E9D"/>
    <w:rsid w:val="006A64B1"/>
    <w:rsid w:val="006C0DD2"/>
    <w:rsid w:val="006F6C9E"/>
    <w:rsid w:val="007115BC"/>
    <w:rsid w:val="00714376"/>
    <w:rsid w:val="00717828"/>
    <w:rsid w:val="00720F53"/>
    <w:rsid w:val="00731A19"/>
    <w:rsid w:val="00737238"/>
    <w:rsid w:val="00740739"/>
    <w:rsid w:val="00746C19"/>
    <w:rsid w:val="007629CD"/>
    <w:rsid w:val="007870BA"/>
    <w:rsid w:val="00791607"/>
    <w:rsid w:val="007922E5"/>
    <w:rsid w:val="00794883"/>
    <w:rsid w:val="007A0876"/>
    <w:rsid w:val="007A525F"/>
    <w:rsid w:val="007B5DF2"/>
    <w:rsid w:val="007C613B"/>
    <w:rsid w:val="007C6B69"/>
    <w:rsid w:val="007D1895"/>
    <w:rsid w:val="007D23A2"/>
    <w:rsid w:val="007D3920"/>
    <w:rsid w:val="007D3C85"/>
    <w:rsid w:val="007D645C"/>
    <w:rsid w:val="007F5BB6"/>
    <w:rsid w:val="007F787C"/>
    <w:rsid w:val="0080080B"/>
    <w:rsid w:val="008117F9"/>
    <w:rsid w:val="00822886"/>
    <w:rsid w:val="00834F10"/>
    <w:rsid w:val="00842BF4"/>
    <w:rsid w:val="00862DF6"/>
    <w:rsid w:val="00863831"/>
    <w:rsid w:val="00873CB0"/>
    <w:rsid w:val="00874C7A"/>
    <w:rsid w:val="008754C3"/>
    <w:rsid w:val="008756CD"/>
    <w:rsid w:val="008841E0"/>
    <w:rsid w:val="008847A5"/>
    <w:rsid w:val="00885270"/>
    <w:rsid w:val="0089200E"/>
    <w:rsid w:val="008B27F4"/>
    <w:rsid w:val="008F26D1"/>
    <w:rsid w:val="00903B49"/>
    <w:rsid w:val="00910CAC"/>
    <w:rsid w:val="009118AE"/>
    <w:rsid w:val="009225C2"/>
    <w:rsid w:val="0093765F"/>
    <w:rsid w:val="00951C7E"/>
    <w:rsid w:val="00953342"/>
    <w:rsid w:val="00965A0F"/>
    <w:rsid w:val="0097453E"/>
    <w:rsid w:val="009960D4"/>
    <w:rsid w:val="00997F6D"/>
    <w:rsid w:val="009C3DF4"/>
    <w:rsid w:val="00A2468E"/>
    <w:rsid w:val="00A266A1"/>
    <w:rsid w:val="00A30E3F"/>
    <w:rsid w:val="00A42C33"/>
    <w:rsid w:val="00A44788"/>
    <w:rsid w:val="00A44F65"/>
    <w:rsid w:val="00A4739F"/>
    <w:rsid w:val="00A51D20"/>
    <w:rsid w:val="00A61F05"/>
    <w:rsid w:val="00A73DD7"/>
    <w:rsid w:val="00A81E71"/>
    <w:rsid w:val="00A93FCC"/>
    <w:rsid w:val="00AA5509"/>
    <w:rsid w:val="00AC1962"/>
    <w:rsid w:val="00AE5696"/>
    <w:rsid w:val="00B0315F"/>
    <w:rsid w:val="00B05BCC"/>
    <w:rsid w:val="00B0764F"/>
    <w:rsid w:val="00B303AC"/>
    <w:rsid w:val="00B33C1F"/>
    <w:rsid w:val="00B729BE"/>
    <w:rsid w:val="00B8599C"/>
    <w:rsid w:val="00BA3ED9"/>
    <w:rsid w:val="00BB1CFF"/>
    <w:rsid w:val="00BC72ED"/>
    <w:rsid w:val="00BD4F7A"/>
    <w:rsid w:val="00BF39A8"/>
    <w:rsid w:val="00C17FF0"/>
    <w:rsid w:val="00C22FAA"/>
    <w:rsid w:val="00C26835"/>
    <w:rsid w:val="00C433FC"/>
    <w:rsid w:val="00C549E9"/>
    <w:rsid w:val="00C655F9"/>
    <w:rsid w:val="00C957B2"/>
    <w:rsid w:val="00CA1BF3"/>
    <w:rsid w:val="00CA7C47"/>
    <w:rsid w:val="00CB5AA5"/>
    <w:rsid w:val="00CE1BC5"/>
    <w:rsid w:val="00CE6158"/>
    <w:rsid w:val="00CF76AA"/>
    <w:rsid w:val="00D02C88"/>
    <w:rsid w:val="00D112F5"/>
    <w:rsid w:val="00D17528"/>
    <w:rsid w:val="00D2652B"/>
    <w:rsid w:val="00D54FCD"/>
    <w:rsid w:val="00D6141D"/>
    <w:rsid w:val="00D63409"/>
    <w:rsid w:val="00D8277C"/>
    <w:rsid w:val="00D87DCA"/>
    <w:rsid w:val="00D91DE7"/>
    <w:rsid w:val="00DB44ED"/>
    <w:rsid w:val="00DC0758"/>
    <w:rsid w:val="00DC6EA9"/>
    <w:rsid w:val="00DD4908"/>
    <w:rsid w:val="00DD7958"/>
    <w:rsid w:val="00DE27FB"/>
    <w:rsid w:val="00DE2CDF"/>
    <w:rsid w:val="00E04F28"/>
    <w:rsid w:val="00E05C75"/>
    <w:rsid w:val="00E24A13"/>
    <w:rsid w:val="00E2720B"/>
    <w:rsid w:val="00E570AE"/>
    <w:rsid w:val="00E6552C"/>
    <w:rsid w:val="00E704F3"/>
    <w:rsid w:val="00E811DA"/>
    <w:rsid w:val="00E92946"/>
    <w:rsid w:val="00EA6C65"/>
    <w:rsid w:val="00EB185D"/>
    <w:rsid w:val="00EE6CE9"/>
    <w:rsid w:val="00EF1387"/>
    <w:rsid w:val="00EF52C3"/>
    <w:rsid w:val="00EF6E5E"/>
    <w:rsid w:val="00F0188D"/>
    <w:rsid w:val="00F34182"/>
    <w:rsid w:val="00F51BEF"/>
    <w:rsid w:val="00F97ED4"/>
    <w:rsid w:val="00FA60D8"/>
    <w:rsid w:val="00FB1EDA"/>
    <w:rsid w:val="00FB481E"/>
    <w:rsid w:val="00FB53C3"/>
    <w:rsid w:val="00FC6053"/>
    <w:rsid w:val="00FD08C0"/>
    <w:rsid w:val="00FD7DBE"/>
    <w:rsid w:val="00FE70CF"/>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947F8EDA-DA18-47DF-A51A-4E5EEE8A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1"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AA"/>
    <w:rPr>
      <w:rFonts w:ascii="Times New Roman" w:eastAsia="Times New Roman" w:hAnsi="Times New Roman" w:cs="Times New Roman"/>
      <w:lang w:val="es-ES" w:eastAsia="es-ES"/>
    </w:rPr>
  </w:style>
  <w:style w:type="paragraph" w:styleId="Ttulo1">
    <w:name w:val="heading 1"/>
    <w:basedOn w:val="Normal"/>
    <w:next w:val="Normal"/>
    <w:link w:val="Ttulo1Car"/>
    <w:qFormat/>
    <w:rsid w:val="00580EAA"/>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3941D0"/>
    <w:pPr>
      <w:keepNext/>
      <w:keepLines/>
      <w:spacing w:before="20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EAA"/>
    <w:rPr>
      <w:rFonts w:ascii="Arial Narrow" w:eastAsia="Times New Roman" w:hAnsi="Arial Narrow" w:cs="Times New Roman"/>
      <w:b/>
      <w:sz w:val="28"/>
      <w:szCs w:val="20"/>
      <w:lang w:val="es-ES" w:eastAsia="es-ES"/>
    </w:rPr>
  </w:style>
  <w:style w:type="character" w:customStyle="1" w:styleId="EncabezadoCar">
    <w:name w:val="Encabezado Car"/>
    <w:link w:val="Encabezado"/>
    <w:rsid w:val="00580EAA"/>
    <w:rPr>
      <w:rFonts w:ascii="Times New Roman" w:eastAsia="Times New Roman" w:hAnsi="Times New Roman"/>
      <w:lang w:val="es-ES" w:eastAsia="es-ES"/>
    </w:rPr>
  </w:style>
  <w:style w:type="paragraph" w:styleId="Encabezado">
    <w:name w:val="header"/>
    <w:basedOn w:val="Normal"/>
    <w:link w:val="EncabezadoCar"/>
    <w:rsid w:val="00580EAA"/>
    <w:pPr>
      <w:tabs>
        <w:tab w:val="center" w:pos="4419"/>
        <w:tab w:val="right" w:pos="8838"/>
      </w:tabs>
    </w:pPr>
    <w:rPr>
      <w:rFonts w:cstheme="minorBidi"/>
    </w:rPr>
  </w:style>
  <w:style w:type="character" w:customStyle="1" w:styleId="EncabezadoCar1">
    <w:name w:val="Encabezado Car1"/>
    <w:basedOn w:val="Fuentedeprrafopredeter"/>
    <w:uiPriority w:val="99"/>
    <w:semiHidden/>
    <w:rsid w:val="00580EAA"/>
    <w:rPr>
      <w:rFonts w:ascii="Times New Roman" w:eastAsia="Times New Roman" w:hAnsi="Times New Roman" w:cs="Times New Roman"/>
      <w:lang w:val="es-ES" w:eastAsia="es-ES"/>
    </w:rPr>
  </w:style>
  <w:style w:type="character" w:customStyle="1" w:styleId="PiedepginaCar">
    <w:name w:val="Pie de página Car"/>
    <w:link w:val="Piedepgina"/>
    <w:uiPriority w:val="99"/>
    <w:semiHidden/>
    <w:rsid w:val="00580EAA"/>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580EAA"/>
    <w:pPr>
      <w:tabs>
        <w:tab w:val="center" w:pos="4419"/>
        <w:tab w:val="right" w:pos="8838"/>
      </w:tabs>
    </w:pPr>
    <w:rPr>
      <w:rFonts w:cstheme="minorBidi"/>
    </w:rPr>
  </w:style>
  <w:style w:type="character" w:customStyle="1" w:styleId="PiedepginaCar1">
    <w:name w:val="Pie de página Car1"/>
    <w:basedOn w:val="Fuentedeprrafopredeter"/>
    <w:uiPriority w:val="99"/>
    <w:semiHidden/>
    <w:rsid w:val="00580EAA"/>
    <w:rPr>
      <w:rFonts w:ascii="Times New Roman" w:eastAsia="Times New Roman" w:hAnsi="Times New Roman" w:cs="Times New Roman"/>
      <w:lang w:val="es-ES" w:eastAsia="es-ES"/>
    </w:rPr>
  </w:style>
  <w:style w:type="character" w:styleId="Nmerodepgina">
    <w:name w:val="page number"/>
    <w:rsid w:val="00580EAA"/>
    <w:rPr>
      <w:rFonts w:cs="Times New Roman"/>
    </w:rPr>
  </w:style>
  <w:style w:type="character" w:customStyle="1" w:styleId="Ttulo5Car">
    <w:name w:val="Título 5 Car"/>
    <w:basedOn w:val="Fuentedeprrafopredeter"/>
    <w:link w:val="Ttulo5"/>
    <w:uiPriority w:val="9"/>
    <w:rsid w:val="003941D0"/>
    <w:rPr>
      <w:rFonts w:asciiTheme="majorHAnsi" w:eastAsiaTheme="majorEastAsia" w:hAnsiTheme="majorHAnsi" w:cstheme="majorBidi"/>
      <w:color w:val="244061" w:themeColor="accent1" w:themeShade="80"/>
      <w:lang w:val="es-ES" w:eastAsia="es-ES"/>
    </w:rPr>
  </w:style>
  <w:style w:type="paragraph" w:customStyle="1" w:styleId="Encabezado2">
    <w:name w:val="Encabezado 2"/>
    <w:basedOn w:val="Normal"/>
    <w:rsid w:val="00FC6053"/>
    <w:pPr>
      <w:keepNext/>
      <w:suppressAutoHyphens/>
      <w:spacing w:line="100" w:lineRule="atLeast"/>
      <w:jc w:val="center"/>
    </w:pPr>
    <w:rPr>
      <w:rFonts w:ascii="Arial" w:hAnsi="Arial" w:cs="Arial"/>
      <w:b/>
      <w:bCs/>
      <w:color w:val="00000A"/>
      <w:sz w:val="20"/>
      <w:szCs w:val="20"/>
    </w:rPr>
  </w:style>
  <w:style w:type="paragraph" w:styleId="Sinespaciado">
    <w:name w:val="No Spacing"/>
    <w:rsid w:val="00FC6053"/>
    <w:pPr>
      <w:suppressAutoHyphens/>
      <w:spacing w:line="100" w:lineRule="atLeast"/>
    </w:pPr>
    <w:rPr>
      <w:rFonts w:ascii="Calibri" w:eastAsia="Calibri" w:hAnsi="Calibri" w:cs="Times New Roman"/>
      <w:color w:val="00000A"/>
      <w:sz w:val="22"/>
      <w:szCs w:val="22"/>
      <w:lang w:val="es-MX"/>
    </w:rPr>
  </w:style>
  <w:style w:type="paragraph" w:styleId="Textodeglobo">
    <w:name w:val="Balloon Text"/>
    <w:basedOn w:val="Normal"/>
    <w:link w:val="TextodegloboCar"/>
    <w:semiHidden/>
    <w:unhideWhenUsed/>
    <w:rsid w:val="00FA60D8"/>
    <w:rPr>
      <w:rFonts w:ascii="Tahoma" w:hAnsi="Tahoma" w:cs="Tahoma"/>
      <w:sz w:val="16"/>
      <w:szCs w:val="16"/>
    </w:rPr>
  </w:style>
  <w:style w:type="character" w:customStyle="1" w:styleId="TextodegloboCar">
    <w:name w:val="Texto de globo Car"/>
    <w:basedOn w:val="Fuentedeprrafopredeter"/>
    <w:link w:val="Textodeglobo"/>
    <w:semiHidden/>
    <w:rsid w:val="00FA60D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686C2-44FF-4EDA-A019-2E059B94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10</Pages>
  <Words>3217</Words>
  <Characters>17696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cp:lastModifiedBy>
  <cp:revision>19</cp:revision>
  <cp:lastPrinted>2016-01-11T16:29:00Z</cp:lastPrinted>
  <dcterms:created xsi:type="dcterms:W3CDTF">2016-01-09T16:09:00Z</dcterms:created>
  <dcterms:modified xsi:type="dcterms:W3CDTF">2016-02-24T19:14:00Z</dcterms:modified>
</cp:coreProperties>
</file>